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F4F" w:rsidRPr="007918F6" w:rsidRDefault="00B659EF" w:rsidP="00DD4202">
      <w:pPr>
        <w:spacing w:before="3720" w:line="480" w:lineRule="auto"/>
        <w:jc w:val="center"/>
        <w:rPr>
          <w:rFonts w:cs="Times New Roman"/>
          <w:b/>
          <w:sz w:val="40"/>
          <w:szCs w:val="40"/>
        </w:rPr>
      </w:pPr>
      <w:r w:rsidRPr="007918F6">
        <w:rPr>
          <w:rFonts w:cs="Times New Roman"/>
          <w:b/>
          <w:sz w:val="40"/>
          <w:szCs w:val="40"/>
        </w:rPr>
        <w:t>Straté</w:t>
      </w:r>
      <w:r w:rsidR="007918F6" w:rsidRPr="007918F6">
        <w:rPr>
          <w:rFonts w:cs="Times New Roman"/>
          <w:b/>
          <w:sz w:val="40"/>
          <w:szCs w:val="40"/>
        </w:rPr>
        <w:t>giai tervezés online támogatása</w:t>
      </w:r>
      <w:r w:rsidR="007918F6" w:rsidRPr="007918F6">
        <w:rPr>
          <w:rFonts w:cs="Times New Roman"/>
          <w:b/>
          <w:sz w:val="40"/>
          <w:szCs w:val="40"/>
        </w:rPr>
        <w:br/>
      </w:r>
      <w:r w:rsidRPr="007918F6">
        <w:rPr>
          <w:rFonts w:cs="Times New Roman"/>
          <w:b/>
          <w:sz w:val="40"/>
          <w:szCs w:val="40"/>
        </w:rPr>
        <w:t>a vidékfejlesztésben</w:t>
      </w:r>
    </w:p>
    <w:p w:rsidR="007918F6" w:rsidRPr="00AE3547" w:rsidRDefault="007918F6" w:rsidP="00DD4202">
      <w:pPr>
        <w:spacing w:before="6120" w:line="480" w:lineRule="auto"/>
        <w:jc w:val="center"/>
        <w:rPr>
          <w:rFonts w:cs="Times New Roman"/>
          <w:b/>
          <w:sz w:val="30"/>
          <w:szCs w:val="30"/>
        </w:rPr>
      </w:pPr>
      <w:r w:rsidRPr="00AE3547">
        <w:rPr>
          <w:rFonts w:cs="Times New Roman"/>
          <w:b/>
          <w:sz w:val="30"/>
          <w:szCs w:val="30"/>
        </w:rPr>
        <w:t>Horváth H., Dr. Pitlik L.</w:t>
      </w:r>
    </w:p>
    <w:p w:rsidR="007918F6" w:rsidRPr="00252AA8" w:rsidRDefault="007918F6" w:rsidP="007918F6">
      <w:pPr>
        <w:spacing w:line="480" w:lineRule="auto"/>
        <w:jc w:val="center"/>
        <w:rPr>
          <w:sz w:val="20"/>
          <w:szCs w:val="20"/>
        </w:rPr>
      </w:pPr>
      <w:r w:rsidRPr="00252AA8">
        <w:rPr>
          <w:sz w:val="20"/>
          <w:szCs w:val="20"/>
        </w:rPr>
        <w:t xml:space="preserve">Szent István Egyetem, Gödöllő, TATA Kiválósági Központ és Informatikai </w:t>
      </w:r>
      <w:r>
        <w:rPr>
          <w:sz w:val="20"/>
          <w:szCs w:val="20"/>
        </w:rPr>
        <w:t>Intézet</w:t>
      </w:r>
    </w:p>
    <w:p w:rsidR="007918F6" w:rsidRDefault="007918F6" w:rsidP="007918F6">
      <w:pPr>
        <w:spacing w:line="480" w:lineRule="auto"/>
        <w:jc w:val="center"/>
        <w:rPr>
          <w:sz w:val="20"/>
          <w:szCs w:val="20"/>
        </w:rPr>
      </w:pPr>
      <w:r w:rsidRPr="00252AA8">
        <w:rPr>
          <w:sz w:val="20"/>
          <w:szCs w:val="20"/>
        </w:rPr>
        <w:t>Gödöllő, 2100 Tessedik Sámuel u. 6.</w:t>
      </w:r>
    </w:p>
    <w:p w:rsidR="00443502" w:rsidRDefault="00443502" w:rsidP="007918F6">
      <w:pPr>
        <w:spacing w:line="480" w:lineRule="auto"/>
        <w:jc w:val="right"/>
        <w:rPr>
          <w:rFonts w:eastAsia="Calibri" w:cs="Times New Roman"/>
          <w:sz w:val="24"/>
          <w:szCs w:val="24"/>
        </w:rPr>
        <w:sectPr w:rsidR="00443502" w:rsidSect="00443502">
          <w:footerReference w:type="default" r:id="rId8"/>
          <w:pgSz w:w="11899" w:h="16840"/>
          <w:pgMar w:top="1418" w:right="1418" w:bottom="1418" w:left="1701" w:header="709" w:footer="709" w:gutter="0"/>
          <w:pgNumType w:start="1"/>
          <w:cols w:space="708"/>
          <w:titlePg/>
          <w:docGrid w:linePitch="381"/>
        </w:sectPr>
      </w:pPr>
    </w:p>
    <w:p w:rsidR="00C04323" w:rsidRPr="009B5880" w:rsidRDefault="00C04323" w:rsidP="009B5880">
      <w:pPr>
        <w:spacing w:line="480" w:lineRule="auto"/>
        <w:jc w:val="center"/>
        <w:rPr>
          <w:rFonts w:cs="Times New Roman"/>
          <w:b/>
          <w:sz w:val="30"/>
          <w:szCs w:val="30"/>
        </w:rPr>
      </w:pPr>
      <w:r w:rsidRPr="009B5880">
        <w:rPr>
          <w:rFonts w:cs="Times New Roman"/>
          <w:b/>
          <w:sz w:val="30"/>
          <w:szCs w:val="30"/>
        </w:rPr>
        <w:lastRenderedPageBreak/>
        <w:t>BEVEZETÉS</w:t>
      </w:r>
    </w:p>
    <w:p w:rsidR="00C04323" w:rsidRPr="000359DD" w:rsidRDefault="00C04323" w:rsidP="00135CEC">
      <w:pPr>
        <w:pStyle w:val="Cmsor2"/>
        <w:numPr>
          <w:ilvl w:val="0"/>
          <w:numId w:val="0"/>
        </w:numPr>
        <w:spacing w:after="0" w:line="480" w:lineRule="auto"/>
        <w:ind w:left="576" w:hanging="576"/>
        <w:rPr>
          <w:rFonts w:cs="Times New Roman"/>
          <w:sz w:val="24"/>
          <w:szCs w:val="24"/>
        </w:rPr>
      </w:pPr>
      <w:r w:rsidRPr="000359DD">
        <w:rPr>
          <w:rFonts w:cs="Times New Roman"/>
          <w:sz w:val="24"/>
          <w:szCs w:val="24"/>
        </w:rPr>
        <w:t>Témaválasztás indoklása, motiváció</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„A tényekre alapozott szakpolitikai döntéshozatal kultúrája rendkívül szerény Magyarországon.” (Kelenhegyi, 2009)</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„A jelenleg ad hoc szakértői munka formájában keletkező döntés-előkészítési anyagok háttérben a stratégiai tervezési és monitoring folyamatok best practice szintjét meg kell és meg lehet haladni.” (Pitlik, 2009)</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Ma Magyarországon a statisztikai alapinformációk elérhetőek (vö. pl. teir.vati.hu), viszont „számos” információ (pl. gazdasági fejlődés mutatói) még hiányzik, illetve a kutatás-fejlesztési és innovációs indikátorok részletezettsége, minősége nem megfelelő. Hiányzik a meglévő adatok és mutatószámok rendszerezett elemzése</w:t>
      </w:r>
      <w:r w:rsidRPr="000359DD">
        <w:rPr>
          <w:rStyle w:val="Lbjegyzet-hivatkozs"/>
          <w:rFonts w:cs="Times New Roman"/>
          <w:sz w:val="24"/>
          <w:szCs w:val="24"/>
        </w:rPr>
        <w:footnoteReference w:id="2"/>
      </w:r>
      <w:r w:rsidRPr="000359DD">
        <w:rPr>
          <w:rFonts w:cs="Times New Roman"/>
          <w:sz w:val="24"/>
          <w:szCs w:val="24"/>
        </w:rPr>
        <w:t>. Az Innovációs Kutató Központ (IKU) felmérései (2001) alapján „egyre inkább” tapasztalható egy olyan felhasználói igény, mely szerint a folyamatok átláthatósága biztosított, elvárt az érdeksemleges, minél teljesebb és pontosabb adatgyűjtés, továbbá mindjobban nő a kereslet a különböző hazai adatállományok és nemzetközi felmérések kategóriái közötti összhang megteremtésére. A felhasználók többsége igényli azokat az elemzéseket, amelyek abban segítik őket, hogy a rendelkezésükre álló (elvileg közhasznú) adatokból téves következtetéseket vonjanak le.</w:t>
      </w:r>
    </w:p>
    <w:p w:rsidR="00C04323" w:rsidRPr="000359DD" w:rsidRDefault="00C04323" w:rsidP="00135CEC">
      <w:pPr>
        <w:pStyle w:val="Cmsor2"/>
        <w:numPr>
          <w:ilvl w:val="0"/>
          <w:numId w:val="0"/>
        </w:numPr>
        <w:spacing w:after="0" w:line="480" w:lineRule="auto"/>
        <w:ind w:left="576" w:hanging="576"/>
        <w:rPr>
          <w:rFonts w:cs="Times New Roman"/>
          <w:sz w:val="24"/>
          <w:szCs w:val="24"/>
        </w:rPr>
      </w:pPr>
      <w:r w:rsidRPr="000359DD">
        <w:rPr>
          <w:rFonts w:cs="Times New Roman"/>
          <w:sz w:val="24"/>
          <w:szCs w:val="24"/>
        </w:rPr>
        <w:t>Cél</w:t>
      </w:r>
    </w:p>
    <w:p w:rsidR="00C04323" w:rsidRPr="000359DD" w:rsidRDefault="007E0D5F" w:rsidP="00135CEC">
      <w:pPr>
        <w:autoSpaceDE w:val="0"/>
        <w:autoSpaceDN w:val="0"/>
        <w:adjustRightInd w:val="0"/>
        <w:spacing w:line="480" w:lineRule="auto"/>
        <w:jc w:val="both"/>
        <w:rPr>
          <w:rFonts w:cs="Times New Roman"/>
          <w:sz w:val="24"/>
          <w:szCs w:val="24"/>
        </w:rPr>
      </w:pPr>
      <w:r w:rsidRPr="000359DD">
        <w:rPr>
          <w:rFonts w:cs="Times New Roman"/>
          <w:sz w:val="24"/>
          <w:szCs w:val="24"/>
        </w:rPr>
        <w:t>Cél</w:t>
      </w:r>
      <w:r w:rsidR="00C04323" w:rsidRPr="000359DD">
        <w:rPr>
          <w:rFonts w:cs="Times New Roman"/>
          <w:sz w:val="24"/>
          <w:szCs w:val="24"/>
        </w:rPr>
        <w:t xml:space="preserve"> egy olyan adatvagyon-gazdálkodási reform egy konkrét szeletének, vagyis a DIPO-térség stratégiai céljait átvilágító, újszerű monitoring rendszer kimunkálása, amely a stratégiai tervezés alapját képezi. Cél minden egyes létező adat strukturált kezelésének biztosítása, a meglévő, adminisztratív célra gyűjtött adatok statisztikai célú hasznosíthatósága.</w:t>
      </w:r>
    </w:p>
    <w:p w:rsidR="00C04323" w:rsidRPr="000359DD" w:rsidRDefault="00C04323" w:rsidP="00135CEC">
      <w:pPr>
        <w:pStyle w:val="Cmsor2"/>
        <w:numPr>
          <w:ilvl w:val="0"/>
          <w:numId w:val="0"/>
        </w:numPr>
        <w:spacing w:after="0" w:line="480" w:lineRule="auto"/>
        <w:ind w:left="576" w:hanging="576"/>
        <w:rPr>
          <w:rFonts w:cs="Times New Roman"/>
          <w:sz w:val="24"/>
          <w:szCs w:val="24"/>
        </w:rPr>
      </w:pPr>
      <w:r w:rsidRPr="000359DD">
        <w:rPr>
          <w:rFonts w:cs="Times New Roman"/>
          <w:sz w:val="24"/>
          <w:szCs w:val="24"/>
        </w:rPr>
        <w:lastRenderedPageBreak/>
        <w:t>Célcsoport</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Célcsoportba sorolható mindenki, aki tervezőként, illetve civil, szakmai érintettként a folyamatok részese:</w:t>
      </w:r>
    </w:p>
    <w:p w:rsidR="00C04323" w:rsidRPr="000359DD" w:rsidRDefault="00C04323" w:rsidP="00135CEC">
      <w:pPr>
        <w:pStyle w:val="Listaszerbekezds"/>
        <w:numPr>
          <w:ilvl w:val="0"/>
          <w:numId w:val="3"/>
        </w:numPr>
        <w:spacing w:line="480" w:lineRule="auto"/>
        <w:jc w:val="both"/>
        <w:rPr>
          <w:rFonts w:cs="Times New Roman"/>
          <w:sz w:val="24"/>
          <w:szCs w:val="24"/>
        </w:rPr>
      </w:pPr>
      <w:r w:rsidRPr="000359DD">
        <w:rPr>
          <w:rFonts w:cs="Times New Roman"/>
          <w:sz w:val="24"/>
          <w:szCs w:val="24"/>
        </w:rPr>
        <w:t>statisztikusok, gazdasági tervezők</w:t>
      </w:r>
    </w:p>
    <w:p w:rsidR="00C04323" w:rsidRPr="000359DD" w:rsidRDefault="00C04323" w:rsidP="00135CEC">
      <w:pPr>
        <w:pStyle w:val="Listaszerbekezds"/>
        <w:numPr>
          <w:ilvl w:val="0"/>
          <w:numId w:val="3"/>
        </w:numPr>
        <w:spacing w:line="480" w:lineRule="auto"/>
        <w:jc w:val="both"/>
        <w:rPr>
          <w:rFonts w:cs="Times New Roman"/>
          <w:sz w:val="24"/>
          <w:szCs w:val="24"/>
        </w:rPr>
      </w:pPr>
      <w:r w:rsidRPr="000359DD">
        <w:rPr>
          <w:rFonts w:cs="Times New Roman"/>
          <w:sz w:val="24"/>
          <w:szCs w:val="24"/>
        </w:rPr>
        <w:t>kormányzati szervek (pl. Önkormányzati Minisztérium, Nemzeti Fejlesztési és Gazdasági Minisztérium, Szociális és Munkaügyi Minisztérium, Oktatási és Kulturális Minisztérium, stb.)</w:t>
      </w:r>
    </w:p>
    <w:p w:rsidR="00C04323" w:rsidRPr="000359DD" w:rsidRDefault="00C04323" w:rsidP="00135CEC">
      <w:pPr>
        <w:pStyle w:val="Listaszerbekezds"/>
        <w:numPr>
          <w:ilvl w:val="0"/>
          <w:numId w:val="3"/>
        </w:numPr>
        <w:spacing w:line="480" w:lineRule="auto"/>
        <w:jc w:val="both"/>
        <w:rPr>
          <w:rFonts w:cs="Times New Roman"/>
          <w:sz w:val="24"/>
          <w:szCs w:val="24"/>
        </w:rPr>
      </w:pPr>
      <w:r w:rsidRPr="000359DD">
        <w:rPr>
          <w:rFonts w:cs="Times New Roman"/>
          <w:sz w:val="24"/>
          <w:szCs w:val="24"/>
        </w:rPr>
        <w:t>közoktatás</w:t>
      </w:r>
    </w:p>
    <w:p w:rsidR="00C04323" w:rsidRPr="000359DD" w:rsidRDefault="00C04323" w:rsidP="00135CEC">
      <w:pPr>
        <w:pStyle w:val="Listaszerbekezds"/>
        <w:numPr>
          <w:ilvl w:val="0"/>
          <w:numId w:val="3"/>
        </w:numPr>
        <w:spacing w:line="480" w:lineRule="auto"/>
        <w:jc w:val="both"/>
        <w:rPr>
          <w:rFonts w:cs="Times New Roman"/>
          <w:sz w:val="24"/>
          <w:szCs w:val="24"/>
        </w:rPr>
      </w:pPr>
      <w:r w:rsidRPr="000359DD">
        <w:rPr>
          <w:rFonts w:cs="Times New Roman"/>
          <w:sz w:val="24"/>
          <w:szCs w:val="24"/>
        </w:rPr>
        <w:t>civil felhasználók</w:t>
      </w:r>
    </w:p>
    <w:p w:rsidR="00C04323" w:rsidRPr="000359DD" w:rsidRDefault="00C04323" w:rsidP="00135CEC">
      <w:pPr>
        <w:pStyle w:val="Cmsor2"/>
        <w:numPr>
          <w:ilvl w:val="0"/>
          <w:numId w:val="0"/>
        </w:numPr>
        <w:spacing w:after="0" w:line="480" w:lineRule="auto"/>
        <w:ind w:left="576" w:hanging="576"/>
        <w:rPr>
          <w:rFonts w:cs="Times New Roman"/>
          <w:sz w:val="24"/>
          <w:szCs w:val="24"/>
        </w:rPr>
      </w:pPr>
      <w:r w:rsidRPr="000359DD">
        <w:rPr>
          <w:rFonts w:cs="Times New Roman"/>
          <w:sz w:val="24"/>
          <w:szCs w:val="24"/>
        </w:rPr>
        <w:t>Hasznosság</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Haszonként nyilvánul meg az adatokhoz való könnyebb hozzáférhetőség, azok adatbiztonság megőrzése mellett történő, kutatási (ill. közhasznú elemzési) célokra való felhasználhatósága, elősegítve ezzel a szakpolitikai döntéshozatal megalapozottságát.</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 xml:space="preserve">Haszonként fogalmazható meg továbbá a tény-alapú elemzések/előrejelzések hatékonyságának, illetve hatásosságának, ezáltal az érintett rendszerek stabilitásának növelése. </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A részben automatizált elemzések által lehetőség nyílik a rendelkezésre álló erőforrások szabad kapacitásának helyes és hatékony allokációjára.</w:t>
      </w:r>
    </w:p>
    <w:p w:rsidR="00BA7896" w:rsidRPr="009B5880" w:rsidRDefault="00BA7896" w:rsidP="00135CEC">
      <w:pPr>
        <w:spacing w:line="480" w:lineRule="auto"/>
        <w:jc w:val="center"/>
        <w:rPr>
          <w:rFonts w:cs="Times New Roman"/>
          <w:b/>
          <w:sz w:val="30"/>
          <w:szCs w:val="30"/>
        </w:rPr>
      </w:pPr>
      <w:bookmarkStart w:id="0" w:name="_Toc241935574"/>
      <w:bookmarkStart w:id="1" w:name="_Toc241935626"/>
      <w:bookmarkStart w:id="2" w:name="_Toc241939525"/>
      <w:bookmarkEnd w:id="0"/>
      <w:bookmarkEnd w:id="1"/>
      <w:bookmarkEnd w:id="2"/>
      <w:r w:rsidRPr="009B5880">
        <w:rPr>
          <w:rFonts w:cs="Times New Roman"/>
          <w:b/>
          <w:sz w:val="30"/>
          <w:szCs w:val="30"/>
        </w:rPr>
        <w:t>ANYAG ÉS MÓDSZER</w:t>
      </w:r>
    </w:p>
    <w:p w:rsidR="00BA7896" w:rsidRPr="000359DD" w:rsidRDefault="00C04323" w:rsidP="00135CEC">
      <w:pPr>
        <w:spacing w:line="480" w:lineRule="auto"/>
        <w:jc w:val="both"/>
        <w:rPr>
          <w:rFonts w:cs="Times New Roman"/>
          <w:sz w:val="24"/>
          <w:szCs w:val="24"/>
        </w:rPr>
      </w:pPr>
      <w:r w:rsidRPr="000359DD">
        <w:rPr>
          <w:rFonts w:cs="Times New Roman"/>
          <w:sz w:val="24"/>
          <w:szCs w:val="24"/>
        </w:rPr>
        <w:t xml:space="preserve">Ebben a fejezetben elsőként bemutatásra kerül a vizsgált terület (A Duna-Ipoly határmenti együttműködés – akcióterület). </w:t>
      </w:r>
      <w:r w:rsidR="00BA7896" w:rsidRPr="000359DD">
        <w:rPr>
          <w:rFonts w:cs="Times New Roman"/>
          <w:sz w:val="24"/>
          <w:szCs w:val="24"/>
        </w:rPr>
        <w:t xml:space="preserve">A fejezet ezt követő részében ismertetésre kerül az elemzések adatvagyona, az adatgyűjtés során felmerült problémák, valamint annak bizonyítása, hogy jelenleg best practice szint a közhasznú adatokhoz való hozzáférés terén meghaladható. Ezt követően bemutatásra kerül az alkalmazott módszertan, valamint a </w:t>
      </w:r>
      <w:r w:rsidR="00BA7896" w:rsidRPr="000359DD">
        <w:rPr>
          <w:rFonts w:cs="Times New Roman"/>
          <w:sz w:val="24"/>
          <w:szCs w:val="24"/>
        </w:rPr>
        <w:lastRenderedPageBreak/>
        <w:t>készült elemzéseket megalapozó, a Helyi Vidékfejlesztési Stratégia által megfogalmazott HPME 28/28 pontja.</w:t>
      </w:r>
    </w:p>
    <w:p w:rsidR="00C04323" w:rsidRPr="000359DD" w:rsidRDefault="00C04323" w:rsidP="00135CEC">
      <w:pPr>
        <w:pStyle w:val="Cmsor2"/>
        <w:numPr>
          <w:ilvl w:val="0"/>
          <w:numId w:val="0"/>
        </w:numPr>
        <w:spacing w:after="0" w:line="480" w:lineRule="auto"/>
        <w:ind w:left="576" w:hanging="576"/>
        <w:rPr>
          <w:rFonts w:cs="Times New Roman"/>
          <w:sz w:val="24"/>
          <w:szCs w:val="24"/>
        </w:rPr>
      </w:pPr>
      <w:r w:rsidRPr="000359DD">
        <w:rPr>
          <w:rFonts w:cs="Times New Roman"/>
          <w:sz w:val="24"/>
          <w:szCs w:val="24"/>
        </w:rPr>
        <w:t>DIPO akcióterület</w:t>
      </w:r>
    </w:p>
    <w:p w:rsidR="00C04323" w:rsidRPr="000359DD" w:rsidRDefault="00C04323" w:rsidP="00135CEC">
      <w:pPr>
        <w:spacing w:line="480" w:lineRule="auto"/>
        <w:jc w:val="both"/>
        <w:rPr>
          <w:rFonts w:cs="Times New Roman"/>
          <w:sz w:val="24"/>
          <w:szCs w:val="24"/>
          <w:lang w:eastAsia="hu-HU"/>
        </w:rPr>
      </w:pPr>
      <w:r w:rsidRPr="000359DD">
        <w:rPr>
          <w:rFonts w:cs="Times New Roman"/>
          <w:sz w:val="24"/>
          <w:szCs w:val="24"/>
          <w:lang w:eastAsia="hu-HU"/>
        </w:rPr>
        <w:t>A DIPO 19 településből áll, melyet 2 kistérség (Rétsági kistérség és Váci kistérség), 2 megye (Nógrád megye és Pest megye), 2 statisztikai régió (Észak-Magyarországi régió, Közép-Magyarországi régió) fed le.</w:t>
      </w:r>
    </w:p>
    <w:p w:rsidR="00C04323" w:rsidRPr="000359DD" w:rsidRDefault="00C04323" w:rsidP="00135CEC">
      <w:pPr>
        <w:spacing w:line="480" w:lineRule="auto"/>
        <w:jc w:val="both"/>
        <w:rPr>
          <w:rFonts w:cs="Times New Roman"/>
          <w:i/>
          <w:sz w:val="24"/>
          <w:szCs w:val="24"/>
          <w:u w:val="single"/>
          <w:lang w:eastAsia="hu-HU"/>
        </w:rPr>
      </w:pPr>
      <w:r w:rsidRPr="000359DD">
        <w:rPr>
          <w:rFonts w:cs="Times New Roman"/>
          <w:i/>
          <w:sz w:val="24"/>
          <w:szCs w:val="24"/>
          <w:u w:val="single"/>
          <w:lang w:eastAsia="hu-HU"/>
        </w:rPr>
        <w:t>A DIPO települései:</w:t>
      </w:r>
    </w:p>
    <w:p w:rsidR="00C04323" w:rsidRPr="000359DD" w:rsidRDefault="00C04323" w:rsidP="00135CEC">
      <w:pPr>
        <w:spacing w:line="480" w:lineRule="auto"/>
        <w:jc w:val="both"/>
        <w:rPr>
          <w:rFonts w:cs="Times New Roman"/>
          <w:sz w:val="24"/>
          <w:szCs w:val="24"/>
          <w:lang w:eastAsia="hu-HU"/>
        </w:rPr>
      </w:pPr>
      <w:r w:rsidRPr="000359DD">
        <w:rPr>
          <w:rFonts w:cs="Times New Roman"/>
          <w:sz w:val="24"/>
          <w:szCs w:val="24"/>
          <w:u w:val="single"/>
          <w:lang w:eastAsia="hu-HU"/>
        </w:rPr>
        <w:t>Rétsági kistérség</w:t>
      </w:r>
      <w:r w:rsidRPr="000359DD">
        <w:rPr>
          <w:rFonts w:cs="Times New Roman"/>
          <w:sz w:val="24"/>
          <w:szCs w:val="24"/>
          <w:lang w:eastAsia="hu-HU"/>
        </w:rPr>
        <w:t xml:space="preserve">: Bánk, </w:t>
      </w:r>
      <w:r w:rsidRPr="000359DD">
        <w:rPr>
          <w:rFonts w:cs="Times New Roman"/>
          <w:noProof/>
          <w:sz w:val="24"/>
          <w:szCs w:val="24"/>
          <w:lang w:eastAsia="hu-HU"/>
        </w:rPr>
        <w:t>Berkenye, Borsosberény, Diósjenő, Felsőpetény, Keszeg, Legénd, Nézsa, Nógrád, Nógrádsáp, Nőtincs, Ősagárd, Rétság, Szendehely, Tereske, Tolmács</w:t>
      </w:r>
    </w:p>
    <w:p w:rsidR="00C04323" w:rsidRPr="000359DD" w:rsidRDefault="00C04323" w:rsidP="00135CEC">
      <w:pPr>
        <w:spacing w:line="480" w:lineRule="auto"/>
        <w:jc w:val="both"/>
        <w:rPr>
          <w:rFonts w:cs="Times New Roman"/>
          <w:noProof/>
          <w:sz w:val="24"/>
          <w:szCs w:val="24"/>
          <w:lang w:eastAsia="hu-HU"/>
        </w:rPr>
      </w:pPr>
      <w:r w:rsidRPr="000359DD">
        <w:rPr>
          <w:rFonts w:cs="Times New Roman"/>
          <w:sz w:val="24"/>
          <w:szCs w:val="24"/>
          <w:u w:val="single"/>
          <w:lang w:eastAsia="hu-HU"/>
        </w:rPr>
        <w:t>Váci kistérség</w:t>
      </w:r>
      <w:r w:rsidRPr="000359DD">
        <w:rPr>
          <w:rFonts w:cs="Times New Roman"/>
          <w:sz w:val="24"/>
          <w:szCs w:val="24"/>
          <w:lang w:eastAsia="hu-HU"/>
        </w:rPr>
        <w:t xml:space="preserve">: </w:t>
      </w:r>
      <w:r w:rsidRPr="000359DD">
        <w:rPr>
          <w:rFonts w:cs="Times New Roman"/>
          <w:noProof/>
          <w:sz w:val="24"/>
          <w:szCs w:val="24"/>
          <w:lang w:eastAsia="hu-HU"/>
        </w:rPr>
        <w:t>Kosd, Penc, Rád</w:t>
      </w:r>
    </w:p>
    <w:p w:rsidR="00C04323" w:rsidRPr="00567B8D" w:rsidRDefault="00980CF7" w:rsidP="00135CEC">
      <w:pPr>
        <w:spacing w:line="480" w:lineRule="auto"/>
        <w:jc w:val="center"/>
        <w:rPr>
          <w:rFonts w:eastAsia="Times New Roman" w:cs="Times New Roman"/>
          <w:noProof/>
          <w:sz w:val="20"/>
          <w:szCs w:val="20"/>
          <w:lang w:eastAsia="hu-HU"/>
        </w:rPr>
      </w:pPr>
      <w:r w:rsidRPr="00567B8D">
        <w:rPr>
          <w:rFonts w:cs="Times New Roman"/>
          <w:b/>
          <w:bCs/>
          <w:sz w:val="20"/>
          <w:szCs w:val="20"/>
        </w:rPr>
        <w:fldChar w:fldCharType="begin"/>
      </w:r>
      <w:r w:rsidR="00C04323" w:rsidRPr="00567B8D">
        <w:rPr>
          <w:rFonts w:cs="Times New Roman"/>
          <w:b/>
          <w:bCs/>
          <w:sz w:val="20"/>
          <w:szCs w:val="20"/>
        </w:rPr>
        <w:instrText xml:space="preserve"> SEQ kép \* ARABIC </w:instrText>
      </w:r>
      <w:r w:rsidRPr="00567B8D">
        <w:rPr>
          <w:rFonts w:cs="Times New Roman"/>
          <w:b/>
          <w:bCs/>
          <w:sz w:val="20"/>
          <w:szCs w:val="20"/>
        </w:rPr>
        <w:fldChar w:fldCharType="separate"/>
      </w:r>
      <w:r w:rsidR="00A92727" w:rsidRPr="00567B8D">
        <w:rPr>
          <w:rFonts w:cs="Times New Roman"/>
          <w:b/>
          <w:bCs/>
          <w:noProof/>
          <w:sz w:val="20"/>
          <w:szCs w:val="20"/>
        </w:rPr>
        <w:t>1</w:t>
      </w:r>
      <w:r w:rsidRPr="00567B8D">
        <w:rPr>
          <w:rFonts w:cs="Times New Roman"/>
          <w:b/>
          <w:bCs/>
          <w:sz w:val="20"/>
          <w:szCs w:val="20"/>
        </w:rPr>
        <w:fldChar w:fldCharType="end"/>
      </w:r>
      <w:r w:rsidR="00C04323" w:rsidRPr="00567B8D">
        <w:rPr>
          <w:rFonts w:cs="Times New Roman"/>
          <w:b/>
          <w:bCs/>
          <w:sz w:val="20"/>
          <w:szCs w:val="20"/>
        </w:rPr>
        <w:t>. kép A DIPO akcióterület települései</w:t>
      </w:r>
    </w:p>
    <w:p w:rsidR="00C04323" w:rsidRPr="000359DD" w:rsidRDefault="00C04323" w:rsidP="00135CEC">
      <w:pPr>
        <w:pStyle w:val="Cmsor2"/>
        <w:numPr>
          <w:ilvl w:val="0"/>
          <w:numId w:val="0"/>
        </w:numPr>
        <w:spacing w:after="0" w:line="480" w:lineRule="auto"/>
        <w:ind w:left="576" w:hanging="576"/>
        <w:jc w:val="both"/>
        <w:rPr>
          <w:rFonts w:cs="Times New Roman"/>
          <w:sz w:val="24"/>
          <w:szCs w:val="24"/>
        </w:rPr>
      </w:pPr>
      <w:r w:rsidRPr="000359DD">
        <w:rPr>
          <w:rFonts w:cs="Times New Roman"/>
          <w:sz w:val="24"/>
          <w:szCs w:val="24"/>
        </w:rPr>
        <w:t>Adatvagyon – DIPO OLAP</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 xml:space="preserve">Az elemzések adatvagyona a </w:t>
      </w:r>
      <w:hyperlink r:id="rId9" w:history="1">
        <w:r w:rsidRPr="000359DD">
          <w:rPr>
            <w:rStyle w:val="Hiperhivatkozs"/>
            <w:rFonts w:cs="Times New Roman"/>
            <w:color w:val="auto"/>
            <w:sz w:val="24"/>
            <w:szCs w:val="24"/>
          </w:rPr>
          <w:t>http://miau.gau.hu/myx-free/olap/olap2b/2_olap_m.php3</w:t>
        </w:r>
      </w:hyperlink>
      <w:r w:rsidRPr="000359DD">
        <w:rPr>
          <w:rFonts w:cs="Times New Roman"/>
          <w:sz w:val="24"/>
          <w:szCs w:val="24"/>
        </w:rPr>
        <w:t xml:space="preserve"> oldalon található DIPO elnevezésű on-line elemző-feldolgozást lehetővé tévő rendszer. Az adatbázis létrejöttének fő célja, hogy biztosítva legyen az adatok strukturált kezelése.</w:t>
      </w:r>
    </w:p>
    <w:p w:rsidR="00C04323" w:rsidRPr="00567B8D" w:rsidRDefault="00B72AD3" w:rsidP="00135CEC">
      <w:pPr>
        <w:pStyle w:val="Kpalrs"/>
        <w:spacing w:line="480" w:lineRule="auto"/>
        <w:jc w:val="center"/>
        <w:rPr>
          <w:rFonts w:cs="Times New Roman"/>
          <w:color w:val="auto"/>
          <w:sz w:val="20"/>
          <w:szCs w:val="20"/>
        </w:rPr>
      </w:pPr>
      <w:bookmarkStart w:id="3" w:name="_Toc241996299"/>
      <w:r w:rsidRPr="00567B8D">
        <w:rPr>
          <w:rFonts w:cs="Times New Roman"/>
          <w:color w:val="auto"/>
          <w:sz w:val="20"/>
          <w:szCs w:val="20"/>
        </w:rPr>
        <w:t>2</w:t>
      </w:r>
      <w:r w:rsidR="00C04323" w:rsidRPr="00567B8D">
        <w:rPr>
          <w:rFonts w:cs="Times New Roman"/>
          <w:color w:val="auto"/>
          <w:sz w:val="20"/>
          <w:szCs w:val="20"/>
        </w:rPr>
        <w:t>. kép DIPO OLAP lekérdező felület</w:t>
      </w:r>
      <w:bookmarkEnd w:id="3"/>
    </w:p>
    <w:p w:rsidR="00C04323" w:rsidRPr="000359DD" w:rsidRDefault="00C04323" w:rsidP="00135CEC">
      <w:pPr>
        <w:spacing w:line="480" w:lineRule="auto"/>
        <w:jc w:val="both"/>
        <w:rPr>
          <w:rFonts w:cs="Times New Roman"/>
          <w:sz w:val="24"/>
          <w:szCs w:val="24"/>
          <w:u w:val="single"/>
        </w:rPr>
      </w:pPr>
      <w:r w:rsidRPr="000359DD">
        <w:rPr>
          <w:rFonts w:cs="Times New Roman"/>
          <w:sz w:val="24"/>
          <w:szCs w:val="24"/>
          <w:u w:val="single"/>
        </w:rPr>
        <w:t>Az adatbázisban az alábbi struktúrában találhatók meg az adatok:</w:t>
      </w:r>
    </w:p>
    <w:p w:rsidR="00C04323" w:rsidRPr="000359DD" w:rsidRDefault="00C04323" w:rsidP="00135CEC">
      <w:pPr>
        <w:pStyle w:val="Listaszerbekezds"/>
        <w:numPr>
          <w:ilvl w:val="0"/>
          <w:numId w:val="10"/>
        </w:numPr>
        <w:spacing w:line="480" w:lineRule="auto"/>
        <w:jc w:val="both"/>
        <w:rPr>
          <w:rFonts w:cs="Times New Roman"/>
          <w:sz w:val="24"/>
          <w:szCs w:val="24"/>
        </w:rPr>
      </w:pPr>
      <w:r w:rsidRPr="000359DD">
        <w:rPr>
          <w:rFonts w:cs="Times New Roman"/>
          <w:sz w:val="24"/>
          <w:szCs w:val="24"/>
        </w:rPr>
        <w:t>104</w:t>
      </w:r>
      <w:r w:rsidR="00BB6A04">
        <w:rPr>
          <w:rFonts w:cs="Times New Roman"/>
          <w:sz w:val="24"/>
          <w:szCs w:val="24"/>
        </w:rPr>
        <w:t>7</w:t>
      </w:r>
      <w:r w:rsidRPr="000359DD">
        <w:rPr>
          <w:rFonts w:cs="Times New Roman"/>
          <w:sz w:val="24"/>
          <w:szCs w:val="24"/>
        </w:rPr>
        <w:t xml:space="preserve"> statisztikai mutatószám (az Országos Területfejlesztési és Területrendezési Információs Rendszerben (továbbiakban: TEIR) található mutatószámok után) (konszolidáció alatt)</w:t>
      </w:r>
    </w:p>
    <w:p w:rsidR="00C04323" w:rsidRPr="000359DD" w:rsidRDefault="00C04323" w:rsidP="00135CEC">
      <w:pPr>
        <w:pStyle w:val="Listaszerbekezds"/>
        <w:numPr>
          <w:ilvl w:val="0"/>
          <w:numId w:val="10"/>
        </w:numPr>
        <w:spacing w:line="480" w:lineRule="auto"/>
        <w:jc w:val="both"/>
        <w:rPr>
          <w:rFonts w:cs="Times New Roman"/>
          <w:sz w:val="24"/>
          <w:szCs w:val="24"/>
        </w:rPr>
      </w:pPr>
      <w:r w:rsidRPr="000359DD">
        <w:rPr>
          <w:rFonts w:cs="Times New Roman"/>
          <w:sz w:val="24"/>
          <w:szCs w:val="24"/>
        </w:rPr>
        <w:t>27 mértékegység (konszolidáció alatt)</w:t>
      </w:r>
    </w:p>
    <w:p w:rsidR="00C04323" w:rsidRPr="000359DD" w:rsidRDefault="00C04323" w:rsidP="00135CEC">
      <w:pPr>
        <w:pStyle w:val="Listaszerbekezds"/>
        <w:numPr>
          <w:ilvl w:val="0"/>
          <w:numId w:val="10"/>
        </w:numPr>
        <w:spacing w:line="480" w:lineRule="auto"/>
        <w:jc w:val="both"/>
        <w:rPr>
          <w:rFonts w:cs="Times New Roman"/>
          <w:sz w:val="24"/>
          <w:szCs w:val="24"/>
        </w:rPr>
      </w:pPr>
      <w:r w:rsidRPr="000359DD">
        <w:rPr>
          <w:rFonts w:cs="Times New Roman"/>
          <w:sz w:val="24"/>
          <w:szCs w:val="24"/>
        </w:rPr>
        <w:t>17 jelenség-csopot (a TEIR-ben található, évenként lekérdezhető kategóriák alapján)</w:t>
      </w:r>
    </w:p>
    <w:p w:rsidR="00C04323" w:rsidRPr="000359DD" w:rsidRDefault="00C04323" w:rsidP="00135CEC">
      <w:pPr>
        <w:pStyle w:val="Listaszerbekezds"/>
        <w:numPr>
          <w:ilvl w:val="0"/>
          <w:numId w:val="10"/>
        </w:numPr>
        <w:spacing w:line="480" w:lineRule="auto"/>
        <w:jc w:val="both"/>
        <w:rPr>
          <w:rFonts w:cs="Times New Roman"/>
          <w:sz w:val="24"/>
          <w:szCs w:val="24"/>
        </w:rPr>
      </w:pPr>
      <w:r w:rsidRPr="000359DD">
        <w:rPr>
          <w:rFonts w:cs="Times New Roman"/>
          <w:sz w:val="24"/>
          <w:szCs w:val="24"/>
        </w:rPr>
        <w:t>105 térség (objektum) (folyamatos bővülés)</w:t>
      </w:r>
    </w:p>
    <w:p w:rsidR="00C04323" w:rsidRPr="000359DD" w:rsidRDefault="00C04323" w:rsidP="00135CEC">
      <w:pPr>
        <w:pStyle w:val="Listaszerbekezds"/>
        <w:numPr>
          <w:ilvl w:val="0"/>
          <w:numId w:val="10"/>
        </w:numPr>
        <w:spacing w:line="480" w:lineRule="auto"/>
        <w:jc w:val="both"/>
        <w:rPr>
          <w:rFonts w:cs="Times New Roman"/>
          <w:sz w:val="24"/>
          <w:szCs w:val="24"/>
        </w:rPr>
      </w:pPr>
      <w:r w:rsidRPr="000359DD">
        <w:rPr>
          <w:rFonts w:cs="Times New Roman"/>
          <w:sz w:val="24"/>
          <w:szCs w:val="24"/>
        </w:rPr>
        <w:t>61 év (1949-2009) (folyamatos bővülés)</w:t>
      </w:r>
    </w:p>
    <w:p w:rsidR="00C04323" w:rsidRPr="000359DD" w:rsidRDefault="00C04323" w:rsidP="00135CEC">
      <w:pPr>
        <w:spacing w:line="480" w:lineRule="auto"/>
        <w:jc w:val="both"/>
        <w:rPr>
          <w:rFonts w:cs="Times New Roman"/>
          <w:sz w:val="24"/>
          <w:szCs w:val="24"/>
        </w:rPr>
      </w:pPr>
      <w:r w:rsidRPr="000359DD">
        <w:rPr>
          <w:rFonts w:cs="Times New Roman"/>
          <w:sz w:val="24"/>
          <w:szCs w:val="24"/>
        </w:rPr>
        <w:lastRenderedPageBreak/>
        <w:t>Az adatok lekérdezése során lehetőségünk van beállítani, hogy objektumok a DIPO akcióterülethez tartozzanak-e (DIPO: igen-nem). Ekkor csak a DIPO-hoz tartozó 19 településre, illetve magára a DIPO-ra, mint „származtatott aggregációra” vonatkozó adatokat kapjuk eredményül.</w:t>
      </w:r>
    </w:p>
    <w:p w:rsidR="00C04323" w:rsidRPr="000359DD" w:rsidRDefault="00C04323" w:rsidP="00135CEC">
      <w:pPr>
        <w:spacing w:line="480" w:lineRule="auto"/>
        <w:jc w:val="both"/>
        <w:rPr>
          <w:rFonts w:cs="Times New Roman"/>
          <w:sz w:val="24"/>
          <w:szCs w:val="24"/>
          <w:u w:val="single"/>
        </w:rPr>
      </w:pPr>
      <w:r w:rsidRPr="000359DD">
        <w:rPr>
          <w:rFonts w:cs="Times New Roman"/>
          <w:sz w:val="24"/>
          <w:szCs w:val="24"/>
          <w:u w:val="single"/>
        </w:rPr>
        <w:t>Az 104</w:t>
      </w:r>
      <w:r w:rsidR="00BB6A04">
        <w:rPr>
          <w:rFonts w:cs="Times New Roman"/>
          <w:sz w:val="24"/>
          <w:szCs w:val="24"/>
          <w:u w:val="single"/>
        </w:rPr>
        <w:t>7</w:t>
      </w:r>
      <w:r w:rsidRPr="000359DD">
        <w:rPr>
          <w:rFonts w:cs="Times New Roman"/>
          <w:sz w:val="24"/>
          <w:szCs w:val="24"/>
          <w:u w:val="single"/>
        </w:rPr>
        <w:t xml:space="preserve"> statisztikai mutató (a TEIR-ben alkalmazott lekérdezési mintára alapozva</w:t>
      </w:r>
      <w:r w:rsidRPr="000359DD">
        <w:rPr>
          <w:rStyle w:val="Lbjegyzet-hivatkozs"/>
          <w:rFonts w:cs="Times New Roman"/>
          <w:sz w:val="24"/>
          <w:szCs w:val="24"/>
          <w:u w:val="single"/>
        </w:rPr>
        <w:footnoteReference w:id="3"/>
      </w:r>
      <w:r w:rsidRPr="000359DD">
        <w:rPr>
          <w:rFonts w:cs="Times New Roman"/>
          <w:sz w:val="24"/>
          <w:szCs w:val="24"/>
          <w:u w:val="single"/>
        </w:rPr>
        <w:t>) az alábbi 17 csoportba lett besorolva:</w:t>
      </w:r>
    </w:p>
    <w:p w:rsidR="00C04323" w:rsidRPr="000359DD" w:rsidRDefault="00C04323" w:rsidP="00135CEC">
      <w:pPr>
        <w:pStyle w:val="Listaszerbekezds"/>
        <w:numPr>
          <w:ilvl w:val="0"/>
          <w:numId w:val="14"/>
        </w:numPr>
        <w:tabs>
          <w:tab w:val="left" w:pos="4678"/>
        </w:tabs>
        <w:spacing w:line="480" w:lineRule="auto"/>
        <w:ind w:left="284" w:hanging="142"/>
        <w:jc w:val="both"/>
        <w:rPr>
          <w:rFonts w:cs="Times New Roman"/>
          <w:sz w:val="24"/>
          <w:szCs w:val="24"/>
        </w:rPr>
      </w:pPr>
      <w:r w:rsidRPr="000359DD">
        <w:rPr>
          <w:rFonts w:cs="Times New Roman"/>
          <w:sz w:val="24"/>
          <w:szCs w:val="24"/>
        </w:rPr>
        <w:t>balesetek</w:t>
      </w:r>
      <w:r w:rsidRPr="000359DD">
        <w:rPr>
          <w:rFonts w:cs="Times New Roman"/>
          <w:sz w:val="24"/>
          <w:szCs w:val="24"/>
        </w:rPr>
        <w:tab/>
        <w:t>- közoktatás</w:t>
      </w:r>
    </w:p>
    <w:p w:rsidR="00C04323" w:rsidRPr="000359DD" w:rsidRDefault="00C04323" w:rsidP="00135CEC">
      <w:pPr>
        <w:pStyle w:val="Listaszerbekezds"/>
        <w:numPr>
          <w:ilvl w:val="0"/>
          <w:numId w:val="14"/>
        </w:numPr>
        <w:tabs>
          <w:tab w:val="left" w:pos="4678"/>
        </w:tabs>
        <w:spacing w:line="480" w:lineRule="auto"/>
        <w:ind w:left="284" w:hanging="142"/>
        <w:jc w:val="both"/>
        <w:rPr>
          <w:rFonts w:cs="Times New Roman"/>
          <w:sz w:val="24"/>
          <w:szCs w:val="24"/>
        </w:rPr>
      </w:pPr>
      <w:r w:rsidRPr="000359DD">
        <w:rPr>
          <w:rFonts w:cs="Times New Roman"/>
          <w:sz w:val="24"/>
          <w:szCs w:val="24"/>
        </w:rPr>
        <w:t>bűnözés</w:t>
      </w:r>
      <w:r w:rsidRPr="000359DD">
        <w:rPr>
          <w:rFonts w:cs="Times New Roman"/>
          <w:sz w:val="24"/>
          <w:szCs w:val="24"/>
        </w:rPr>
        <w:tab/>
        <w:t>- lakásállomány</w:t>
      </w:r>
    </w:p>
    <w:p w:rsidR="00C04323" w:rsidRPr="000359DD" w:rsidRDefault="00C04323" w:rsidP="00135CEC">
      <w:pPr>
        <w:pStyle w:val="Listaszerbekezds"/>
        <w:numPr>
          <w:ilvl w:val="0"/>
          <w:numId w:val="14"/>
        </w:numPr>
        <w:tabs>
          <w:tab w:val="left" w:pos="4678"/>
        </w:tabs>
        <w:spacing w:line="480" w:lineRule="auto"/>
        <w:ind w:left="284" w:hanging="142"/>
        <w:jc w:val="both"/>
        <w:rPr>
          <w:rFonts w:cs="Times New Roman"/>
          <w:sz w:val="24"/>
          <w:szCs w:val="24"/>
        </w:rPr>
      </w:pPr>
      <w:r w:rsidRPr="000359DD">
        <w:rPr>
          <w:rFonts w:cs="Times New Roman"/>
          <w:sz w:val="24"/>
          <w:szCs w:val="24"/>
        </w:rPr>
        <w:t>egészségügy, szociális ellátás</w:t>
      </w:r>
      <w:r w:rsidRPr="000359DD">
        <w:rPr>
          <w:rFonts w:cs="Times New Roman"/>
          <w:sz w:val="24"/>
          <w:szCs w:val="24"/>
        </w:rPr>
        <w:tab/>
        <w:t>- mezőgazdaság</w:t>
      </w:r>
    </w:p>
    <w:p w:rsidR="00C04323" w:rsidRPr="000359DD" w:rsidRDefault="00C04323" w:rsidP="00135CEC">
      <w:pPr>
        <w:pStyle w:val="Listaszerbekezds"/>
        <w:numPr>
          <w:ilvl w:val="0"/>
          <w:numId w:val="14"/>
        </w:numPr>
        <w:tabs>
          <w:tab w:val="left" w:pos="4678"/>
        </w:tabs>
        <w:spacing w:line="480" w:lineRule="auto"/>
        <w:ind w:left="284" w:hanging="142"/>
        <w:jc w:val="both"/>
        <w:rPr>
          <w:rFonts w:cs="Times New Roman"/>
          <w:sz w:val="24"/>
          <w:szCs w:val="24"/>
        </w:rPr>
      </w:pPr>
      <w:r w:rsidRPr="000359DD">
        <w:rPr>
          <w:rFonts w:cs="Times New Roman"/>
          <w:sz w:val="24"/>
          <w:szCs w:val="24"/>
        </w:rPr>
        <w:t>gazdasági szervezetek</w:t>
      </w:r>
      <w:r w:rsidRPr="000359DD">
        <w:rPr>
          <w:rFonts w:cs="Times New Roman"/>
          <w:sz w:val="24"/>
          <w:szCs w:val="24"/>
        </w:rPr>
        <w:tab/>
        <w:t>- munkanélküliség</w:t>
      </w:r>
    </w:p>
    <w:p w:rsidR="00C04323" w:rsidRPr="000359DD" w:rsidRDefault="00C04323" w:rsidP="00135CEC">
      <w:pPr>
        <w:pStyle w:val="Listaszerbekezds"/>
        <w:numPr>
          <w:ilvl w:val="0"/>
          <w:numId w:val="14"/>
        </w:numPr>
        <w:tabs>
          <w:tab w:val="left" w:pos="4678"/>
        </w:tabs>
        <w:spacing w:line="480" w:lineRule="auto"/>
        <w:ind w:left="284" w:hanging="142"/>
        <w:jc w:val="both"/>
        <w:rPr>
          <w:rFonts w:cs="Times New Roman"/>
          <w:sz w:val="24"/>
          <w:szCs w:val="24"/>
        </w:rPr>
      </w:pPr>
      <w:r w:rsidRPr="000359DD">
        <w:rPr>
          <w:rFonts w:cs="Times New Roman"/>
          <w:sz w:val="24"/>
          <w:szCs w:val="24"/>
        </w:rPr>
        <w:t>gépjárművek, telefon</w:t>
      </w:r>
      <w:r w:rsidRPr="000359DD">
        <w:rPr>
          <w:rFonts w:cs="Times New Roman"/>
          <w:sz w:val="24"/>
          <w:szCs w:val="24"/>
        </w:rPr>
        <w:tab/>
        <w:t>- népmozgalom</w:t>
      </w:r>
    </w:p>
    <w:p w:rsidR="00C04323" w:rsidRPr="000359DD" w:rsidRDefault="00C04323" w:rsidP="00135CEC">
      <w:pPr>
        <w:pStyle w:val="Listaszerbekezds"/>
        <w:numPr>
          <w:ilvl w:val="0"/>
          <w:numId w:val="14"/>
        </w:numPr>
        <w:tabs>
          <w:tab w:val="left" w:pos="4678"/>
        </w:tabs>
        <w:spacing w:line="480" w:lineRule="auto"/>
        <w:ind w:left="284" w:hanging="142"/>
        <w:jc w:val="both"/>
        <w:rPr>
          <w:rFonts w:cs="Times New Roman"/>
          <w:sz w:val="24"/>
          <w:szCs w:val="24"/>
        </w:rPr>
      </w:pPr>
      <w:r w:rsidRPr="000359DD">
        <w:rPr>
          <w:rFonts w:cs="Times New Roman"/>
          <w:sz w:val="24"/>
          <w:szCs w:val="24"/>
        </w:rPr>
        <w:t>intézményellátottság</w:t>
      </w:r>
      <w:r w:rsidRPr="000359DD">
        <w:rPr>
          <w:rFonts w:cs="Times New Roman"/>
          <w:sz w:val="24"/>
          <w:szCs w:val="24"/>
        </w:rPr>
        <w:tab/>
        <w:t>- önkormányzati költségvetés</w:t>
      </w:r>
    </w:p>
    <w:p w:rsidR="00C04323" w:rsidRPr="000359DD" w:rsidRDefault="00C04323" w:rsidP="00135CEC">
      <w:pPr>
        <w:pStyle w:val="Listaszerbekezds"/>
        <w:numPr>
          <w:ilvl w:val="0"/>
          <w:numId w:val="14"/>
        </w:numPr>
        <w:tabs>
          <w:tab w:val="left" w:pos="4678"/>
        </w:tabs>
        <w:spacing w:line="480" w:lineRule="auto"/>
        <w:ind w:left="284" w:hanging="142"/>
        <w:jc w:val="both"/>
        <w:rPr>
          <w:rFonts w:cs="Times New Roman"/>
          <w:sz w:val="24"/>
          <w:szCs w:val="24"/>
        </w:rPr>
      </w:pPr>
      <w:r w:rsidRPr="000359DD">
        <w:rPr>
          <w:rFonts w:cs="Times New Roman"/>
          <w:sz w:val="24"/>
          <w:szCs w:val="24"/>
        </w:rPr>
        <w:t>kiskereskedelem, idegenforgalom</w:t>
      </w:r>
      <w:r w:rsidRPr="000359DD">
        <w:rPr>
          <w:rFonts w:cs="Times New Roman"/>
          <w:sz w:val="24"/>
          <w:szCs w:val="24"/>
        </w:rPr>
        <w:tab/>
        <w:t>- önkormányzati segélyezés</w:t>
      </w:r>
    </w:p>
    <w:p w:rsidR="00C04323" w:rsidRPr="000359DD" w:rsidRDefault="00C04323" w:rsidP="00135CEC">
      <w:pPr>
        <w:pStyle w:val="Listaszerbekezds"/>
        <w:numPr>
          <w:ilvl w:val="0"/>
          <w:numId w:val="14"/>
        </w:numPr>
        <w:tabs>
          <w:tab w:val="left" w:pos="4678"/>
        </w:tabs>
        <w:spacing w:line="480" w:lineRule="auto"/>
        <w:ind w:left="284" w:hanging="142"/>
        <w:jc w:val="both"/>
        <w:rPr>
          <w:rFonts w:cs="Times New Roman"/>
          <w:sz w:val="24"/>
          <w:szCs w:val="24"/>
        </w:rPr>
      </w:pPr>
      <w:r w:rsidRPr="000359DD">
        <w:rPr>
          <w:rFonts w:cs="Times New Roman"/>
          <w:sz w:val="24"/>
          <w:szCs w:val="24"/>
        </w:rPr>
        <w:t>közműellátottság, környezet</w:t>
      </w:r>
      <w:r w:rsidRPr="000359DD">
        <w:rPr>
          <w:rFonts w:cs="Times New Roman"/>
          <w:sz w:val="24"/>
          <w:szCs w:val="24"/>
        </w:rPr>
        <w:tab/>
        <w:t>- terület, népesség</w:t>
      </w:r>
    </w:p>
    <w:p w:rsidR="00C04323" w:rsidRPr="000359DD" w:rsidRDefault="00C04323" w:rsidP="00135CEC">
      <w:pPr>
        <w:pStyle w:val="Listaszerbekezds"/>
        <w:numPr>
          <w:ilvl w:val="0"/>
          <w:numId w:val="14"/>
        </w:numPr>
        <w:spacing w:line="480" w:lineRule="auto"/>
        <w:ind w:left="284" w:hanging="142"/>
        <w:jc w:val="both"/>
        <w:rPr>
          <w:rFonts w:cs="Times New Roman"/>
          <w:sz w:val="24"/>
          <w:szCs w:val="24"/>
        </w:rPr>
      </w:pPr>
      <w:r w:rsidRPr="000359DD">
        <w:rPr>
          <w:rFonts w:cs="Times New Roman"/>
          <w:sz w:val="24"/>
          <w:szCs w:val="24"/>
        </w:rPr>
        <w:t>közművelődés</w:t>
      </w:r>
    </w:p>
    <w:p w:rsidR="00C04323" w:rsidRPr="000359DD" w:rsidRDefault="00C04323" w:rsidP="00135CEC">
      <w:pPr>
        <w:spacing w:line="480" w:lineRule="auto"/>
        <w:jc w:val="both"/>
        <w:rPr>
          <w:rFonts w:cs="Times New Roman"/>
          <w:sz w:val="24"/>
          <w:szCs w:val="24"/>
        </w:rPr>
      </w:pPr>
      <w:bookmarkStart w:id="4" w:name="_Toc241935595"/>
      <w:bookmarkStart w:id="5" w:name="_Toc241935647"/>
      <w:bookmarkStart w:id="6" w:name="_Toc241939546"/>
      <w:bookmarkEnd w:id="4"/>
      <w:bookmarkEnd w:id="5"/>
      <w:bookmarkEnd w:id="6"/>
      <w:r w:rsidRPr="000359DD">
        <w:rPr>
          <w:rFonts w:cs="Times New Roman"/>
          <w:sz w:val="24"/>
          <w:szCs w:val="24"/>
        </w:rPr>
        <w:t>Az alkalmazott módszertan ismertetése előtt, kis kitérőt tennék annak érzékeltetése érdekében, hogy mennyi idő takarítható meg egyetlen elemzésre alkalmas OAM összehasonlítása kapcsán.</w:t>
      </w:r>
    </w:p>
    <w:p w:rsidR="00C04323" w:rsidRPr="000359DD" w:rsidRDefault="00C04323" w:rsidP="00135CEC">
      <w:pPr>
        <w:pStyle w:val="Cmsor3"/>
        <w:numPr>
          <w:ilvl w:val="0"/>
          <w:numId w:val="0"/>
        </w:numPr>
        <w:spacing w:after="0" w:line="480" w:lineRule="auto"/>
        <w:rPr>
          <w:rFonts w:cs="Times New Roman"/>
          <w:sz w:val="24"/>
          <w:szCs w:val="24"/>
        </w:rPr>
      </w:pPr>
      <w:r w:rsidRPr="000359DD">
        <w:rPr>
          <w:rFonts w:cs="Times New Roman"/>
          <w:sz w:val="24"/>
          <w:szCs w:val="24"/>
        </w:rPr>
        <w:t>A best practice szint meghaladása</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A mai best practice szintet képviselő információs rendszerek:</w:t>
      </w:r>
    </w:p>
    <w:p w:rsidR="00C04323" w:rsidRPr="000359DD" w:rsidRDefault="00980CF7" w:rsidP="00135CEC">
      <w:pPr>
        <w:spacing w:line="480" w:lineRule="auto"/>
        <w:jc w:val="both"/>
        <w:rPr>
          <w:rFonts w:cs="Times New Roman"/>
          <w:sz w:val="24"/>
          <w:szCs w:val="24"/>
        </w:rPr>
      </w:pPr>
      <w:hyperlink r:id="rId10" w:history="1">
        <w:r w:rsidR="00C04323" w:rsidRPr="000359DD">
          <w:rPr>
            <w:rFonts w:cs="Times New Roman"/>
            <w:sz w:val="24"/>
            <w:szCs w:val="24"/>
          </w:rPr>
          <w:t>http://teir.vati.hu</w:t>
        </w:r>
      </w:hyperlink>
    </w:p>
    <w:p w:rsidR="00C04323" w:rsidRPr="000359DD" w:rsidRDefault="00980CF7" w:rsidP="00135CEC">
      <w:pPr>
        <w:spacing w:line="480" w:lineRule="auto"/>
        <w:jc w:val="both"/>
        <w:rPr>
          <w:rFonts w:cs="Times New Roman"/>
          <w:sz w:val="24"/>
          <w:szCs w:val="24"/>
        </w:rPr>
      </w:pPr>
      <w:hyperlink r:id="rId11" w:history="1">
        <w:r w:rsidR="00C04323" w:rsidRPr="000359DD">
          <w:rPr>
            <w:rFonts w:cs="Times New Roman"/>
            <w:sz w:val="24"/>
            <w:szCs w:val="24"/>
          </w:rPr>
          <w:t>http://www.ksh.hu</w:t>
        </w:r>
      </w:hyperlink>
    </w:p>
    <w:p w:rsidR="00C04323" w:rsidRPr="000359DD" w:rsidRDefault="00980CF7" w:rsidP="00135CEC">
      <w:pPr>
        <w:spacing w:line="480" w:lineRule="auto"/>
        <w:jc w:val="both"/>
        <w:rPr>
          <w:rFonts w:cs="Times New Roman"/>
          <w:sz w:val="24"/>
          <w:szCs w:val="24"/>
        </w:rPr>
      </w:pPr>
      <w:hyperlink r:id="rId12" w:history="1">
        <w:r w:rsidR="00C04323" w:rsidRPr="000359DD">
          <w:rPr>
            <w:rFonts w:cs="Times New Roman"/>
            <w:sz w:val="24"/>
            <w:szCs w:val="24"/>
          </w:rPr>
          <w:t>http://epp.eurostat.ec.europa.eu</w:t>
        </w:r>
      </w:hyperlink>
    </w:p>
    <w:p w:rsidR="00C04323" w:rsidRPr="000359DD" w:rsidRDefault="00980CF7" w:rsidP="00135CEC">
      <w:pPr>
        <w:spacing w:line="480" w:lineRule="auto"/>
        <w:jc w:val="both"/>
        <w:rPr>
          <w:rFonts w:cs="Times New Roman"/>
          <w:sz w:val="24"/>
          <w:szCs w:val="24"/>
        </w:rPr>
      </w:pPr>
      <w:hyperlink r:id="rId13" w:history="1">
        <w:r w:rsidR="00C04323" w:rsidRPr="000359DD">
          <w:rPr>
            <w:rFonts w:cs="Times New Roman"/>
            <w:sz w:val="24"/>
            <w:szCs w:val="24"/>
          </w:rPr>
          <w:t>http://www.adac.de/</w:t>
        </w:r>
      </w:hyperlink>
    </w:p>
    <w:p w:rsidR="00C04323" w:rsidRPr="000359DD" w:rsidRDefault="00C04323" w:rsidP="00135CEC">
      <w:pPr>
        <w:spacing w:line="480" w:lineRule="auto"/>
        <w:jc w:val="both"/>
        <w:rPr>
          <w:rFonts w:cs="Times New Roman"/>
          <w:sz w:val="24"/>
          <w:szCs w:val="24"/>
        </w:rPr>
      </w:pPr>
      <w:r w:rsidRPr="000359DD">
        <w:rPr>
          <w:rFonts w:cs="Times New Roman"/>
          <w:sz w:val="24"/>
          <w:szCs w:val="24"/>
        </w:rPr>
        <w:lastRenderedPageBreak/>
        <w:t>A felsoroltak közül a TEIR-t emelném ki, mivel az OLAP DIPO legtöbb, már rögzített adata ebből az információs rendszerből lett kinyerve.</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Lekérdezés összeállítása - lépéssorozat egy adott érték lekérdezéséhez (abban az esetben, ha az érdeklődő nem rendelkezik regisztrációs kóddal):</w:t>
      </w:r>
    </w:p>
    <w:p w:rsidR="00C04323" w:rsidRPr="000359DD" w:rsidRDefault="00980CF7" w:rsidP="00135CEC">
      <w:pPr>
        <w:pStyle w:val="Listaszerbekezds"/>
        <w:numPr>
          <w:ilvl w:val="0"/>
          <w:numId w:val="29"/>
        </w:numPr>
        <w:spacing w:line="480" w:lineRule="auto"/>
        <w:jc w:val="both"/>
        <w:rPr>
          <w:rFonts w:cs="Times New Roman"/>
          <w:sz w:val="24"/>
          <w:szCs w:val="24"/>
        </w:rPr>
      </w:pPr>
      <w:hyperlink r:id="rId14" w:history="1">
        <w:r w:rsidR="00C04323" w:rsidRPr="000359DD">
          <w:rPr>
            <w:rFonts w:cs="Times New Roman"/>
            <w:sz w:val="24"/>
            <w:szCs w:val="24"/>
          </w:rPr>
          <w:t>http://teir.vati.hu</w:t>
        </w:r>
      </w:hyperlink>
    </w:p>
    <w:p w:rsidR="00C04323" w:rsidRPr="000359DD" w:rsidRDefault="00C04323" w:rsidP="00135CEC">
      <w:pPr>
        <w:pStyle w:val="Listaszerbekezds"/>
        <w:numPr>
          <w:ilvl w:val="0"/>
          <w:numId w:val="29"/>
        </w:numPr>
        <w:spacing w:line="480" w:lineRule="auto"/>
        <w:jc w:val="both"/>
        <w:rPr>
          <w:rFonts w:cs="Times New Roman"/>
          <w:sz w:val="24"/>
          <w:szCs w:val="24"/>
        </w:rPr>
      </w:pPr>
      <w:r w:rsidRPr="000359DD">
        <w:rPr>
          <w:rFonts w:cs="Times New Roman"/>
          <w:sz w:val="24"/>
          <w:szCs w:val="24"/>
        </w:rPr>
        <w:t>a felkínálkozó lehetőségek közül a „Meta” opció kiválasztása</w:t>
      </w:r>
    </w:p>
    <w:p w:rsidR="00C04323" w:rsidRPr="000359DD" w:rsidRDefault="00C04323" w:rsidP="00135CEC">
      <w:pPr>
        <w:pStyle w:val="Listaszerbekezds"/>
        <w:numPr>
          <w:ilvl w:val="0"/>
          <w:numId w:val="29"/>
        </w:numPr>
        <w:spacing w:line="480" w:lineRule="auto"/>
        <w:jc w:val="both"/>
        <w:rPr>
          <w:rFonts w:cs="Times New Roman"/>
          <w:sz w:val="24"/>
          <w:szCs w:val="24"/>
        </w:rPr>
      </w:pPr>
      <w:r w:rsidRPr="000359DD">
        <w:rPr>
          <w:rFonts w:cs="Times New Roman"/>
          <w:sz w:val="24"/>
          <w:szCs w:val="24"/>
        </w:rPr>
        <w:t>„Metaadatbázis lekérdező (alfannumerikus adatokhoz)” alkalmazás megnyitása</w:t>
      </w:r>
    </w:p>
    <w:p w:rsidR="00C04323" w:rsidRPr="000359DD" w:rsidRDefault="00C04323" w:rsidP="00135CEC">
      <w:pPr>
        <w:pStyle w:val="Listaszerbekezds"/>
        <w:numPr>
          <w:ilvl w:val="0"/>
          <w:numId w:val="29"/>
        </w:numPr>
        <w:spacing w:line="480" w:lineRule="auto"/>
        <w:jc w:val="both"/>
        <w:rPr>
          <w:rFonts w:cs="Times New Roman"/>
          <w:sz w:val="24"/>
          <w:szCs w:val="24"/>
        </w:rPr>
      </w:pPr>
      <w:r w:rsidRPr="000359DD">
        <w:rPr>
          <w:rFonts w:cs="Times New Roman"/>
          <w:sz w:val="24"/>
          <w:szCs w:val="24"/>
        </w:rPr>
        <w:t>az adatbázis („Területi statisztikai adatok rendszere”) kiválasztása (egyszerre csak egy év lekérdezésére van lehetőség)</w:t>
      </w:r>
    </w:p>
    <w:p w:rsidR="00C04323" w:rsidRPr="000359DD" w:rsidRDefault="00C04323" w:rsidP="00135CEC">
      <w:pPr>
        <w:pStyle w:val="Listaszerbekezds"/>
        <w:numPr>
          <w:ilvl w:val="0"/>
          <w:numId w:val="29"/>
        </w:numPr>
        <w:spacing w:line="480" w:lineRule="auto"/>
        <w:jc w:val="both"/>
        <w:rPr>
          <w:rFonts w:cs="Times New Roman"/>
          <w:sz w:val="24"/>
          <w:szCs w:val="24"/>
        </w:rPr>
      </w:pPr>
      <w:r w:rsidRPr="000359DD">
        <w:rPr>
          <w:rFonts w:cs="Times New Roman"/>
          <w:sz w:val="24"/>
          <w:szCs w:val="24"/>
        </w:rPr>
        <w:t>csoport kiválasztása (pl. 2000: Terület, népesség / Lakásállomány, lakásépítés / Gazdasági szervezetek / Munkanélküliség / Népmozgalom / Kereskedelem, idegenforgalom / Kommunális ellátás, környezet / Egészségügy, szociális ellátás / Közművelődés / Városok népmozgalom / Városok lakásállomány, lakásépítés / Városok közművelődés / Személygépkocsi, telefon / Városok közlekedés)</w:t>
      </w:r>
    </w:p>
    <w:p w:rsidR="00C04323" w:rsidRPr="000359DD" w:rsidRDefault="00C04323" w:rsidP="00135CEC">
      <w:pPr>
        <w:pStyle w:val="Listaszerbekezds"/>
        <w:numPr>
          <w:ilvl w:val="0"/>
          <w:numId w:val="29"/>
        </w:numPr>
        <w:spacing w:line="480" w:lineRule="auto"/>
        <w:jc w:val="both"/>
        <w:rPr>
          <w:rFonts w:cs="Times New Roman"/>
          <w:sz w:val="24"/>
          <w:szCs w:val="24"/>
        </w:rPr>
      </w:pPr>
      <w:r w:rsidRPr="000359DD">
        <w:rPr>
          <w:rFonts w:cs="Times New Roman"/>
          <w:sz w:val="24"/>
          <w:szCs w:val="24"/>
        </w:rPr>
        <w:t>területegység kiválasztása</w:t>
      </w:r>
    </w:p>
    <w:p w:rsidR="00C04323" w:rsidRPr="000359DD" w:rsidRDefault="00C04323" w:rsidP="00135CEC">
      <w:pPr>
        <w:pStyle w:val="Listaszerbekezds"/>
        <w:numPr>
          <w:ilvl w:val="0"/>
          <w:numId w:val="29"/>
        </w:numPr>
        <w:spacing w:line="480" w:lineRule="auto"/>
        <w:jc w:val="both"/>
        <w:rPr>
          <w:rFonts w:cs="Times New Roman"/>
          <w:sz w:val="24"/>
          <w:szCs w:val="24"/>
        </w:rPr>
      </w:pPr>
      <w:r w:rsidRPr="000359DD">
        <w:rPr>
          <w:rFonts w:cs="Times New Roman"/>
          <w:sz w:val="24"/>
          <w:szCs w:val="24"/>
        </w:rPr>
        <w:t>megismerni kívánt mutatószám kiválasztása</w:t>
      </w:r>
    </w:p>
    <w:p w:rsidR="00C04323" w:rsidRPr="00567B8D" w:rsidRDefault="00BB6A04" w:rsidP="00135CEC">
      <w:pPr>
        <w:pStyle w:val="Kpalrs"/>
        <w:keepNext/>
        <w:spacing w:line="480" w:lineRule="auto"/>
        <w:jc w:val="center"/>
        <w:rPr>
          <w:rFonts w:cs="Times New Roman"/>
          <w:color w:val="auto"/>
          <w:sz w:val="20"/>
          <w:szCs w:val="20"/>
        </w:rPr>
      </w:pPr>
      <w:bookmarkStart w:id="7" w:name="_Toc241996305"/>
      <w:r w:rsidRPr="00567B8D">
        <w:rPr>
          <w:rFonts w:cs="Times New Roman"/>
          <w:color w:val="auto"/>
          <w:sz w:val="20"/>
          <w:szCs w:val="20"/>
        </w:rPr>
        <w:t>3</w:t>
      </w:r>
      <w:r w:rsidR="00C04323" w:rsidRPr="00567B8D">
        <w:rPr>
          <w:rFonts w:cs="Times New Roman"/>
          <w:color w:val="auto"/>
          <w:sz w:val="20"/>
          <w:szCs w:val="20"/>
        </w:rPr>
        <w:t>. kép A 2000-es évi Bánkon történt halálozások számának lekérdezése a TEIR-ből</w:t>
      </w:r>
      <w:bookmarkEnd w:id="7"/>
    </w:p>
    <w:p w:rsidR="00C04323" w:rsidRPr="000359DD" w:rsidRDefault="00C04323" w:rsidP="00135CEC">
      <w:pPr>
        <w:keepNext/>
        <w:spacing w:line="480" w:lineRule="auto"/>
        <w:jc w:val="both"/>
        <w:rPr>
          <w:rFonts w:cs="Times New Roman"/>
          <w:sz w:val="24"/>
          <w:szCs w:val="24"/>
        </w:rPr>
      </w:pPr>
      <w:r w:rsidRPr="000359DD">
        <w:rPr>
          <w:rFonts w:cs="Times New Roman"/>
          <w:sz w:val="24"/>
          <w:szCs w:val="24"/>
        </w:rPr>
        <w:t>Amennyiben például meg szeretnénk tudni, hogy mekkora volt a DIPO akcióterület településein 2000-ben a halálozások száma, akkor az ebben a formában, egy településre legjobb esetben 9, mind a 19 településre vonatkozóan pedig összesen 99 kattintással kérdezhető le.</w:t>
      </w:r>
    </w:p>
    <w:p w:rsidR="00C04323" w:rsidRPr="000359DD" w:rsidRDefault="00C04323" w:rsidP="00135CEC">
      <w:pPr>
        <w:keepNext/>
        <w:spacing w:line="480" w:lineRule="auto"/>
        <w:jc w:val="both"/>
        <w:rPr>
          <w:rFonts w:cs="Times New Roman"/>
          <w:sz w:val="24"/>
          <w:szCs w:val="24"/>
        </w:rPr>
      </w:pPr>
      <w:r w:rsidRPr="000359DD">
        <w:rPr>
          <w:rFonts w:cs="Times New Roman"/>
          <w:sz w:val="24"/>
          <w:szCs w:val="24"/>
        </w:rPr>
        <w:t>Ezzel szemben, hogy ugyan ezt az eredményt kapjuk a DIPO OLAP használatával:</w:t>
      </w:r>
    </w:p>
    <w:p w:rsidR="00C04323" w:rsidRPr="000359DD" w:rsidRDefault="00614237" w:rsidP="00135CEC">
      <w:pPr>
        <w:pStyle w:val="Listaszerbekezds"/>
        <w:numPr>
          <w:ilvl w:val="0"/>
          <w:numId w:val="30"/>
        </w:numPr>
        <w:spacing w:line="480" w:lineRule="auto"/>
        <w:jc w:val="both"/>
        <w:rPr>
          <w:rFonts w:cs="Times New Roman"/>
          <w:sz w:val="24"/>
          <w:szCs w:val="24"/>
        </w:rPr>
      </w:pPr>
      <w:hyperlink r:id="rId15" w:history="1">
        <w:r w:rsidRPr="00614237">
          <w:rPr>
            <w:sz w:val="24"/>
            <w:szCs w:val="24"/>
          </w:rPr>
          <w:t>http://miau.gau.hu/dipo</w:t>
        </w:r>
      </w:hyperlink>
    </w:p>
    <w:p w:rsidR="00C04323" w:rsidRPr="000359DD" w:rsidRDefault="00C04323" w:rsidP="00135CEC">
      <w:pPr>
        <w:pStyle w:val="Listaszerbekezds"/>
        <w:numPr>
          <w:ilvl w:val="0"/>
          <w:numId w:val="30"/>
        </w:numPr>
        <w:spacing w:line="480" w:lineRule="auto"/>
        <w:jc w:val="both"/>
        <w:rPr>
          <w:rFonts w:cs="Times New Roman"/>
          <w:sz w:val="24"/>
          <w:szCs w:val="24"/>
        </w:rPr>
      </w:pPr>
      <w:r w:rsidRPr="000359DD">
        <w:rPr>
          <w:rFonts w:cs="Times New Roman"/>
          <w:sz w:val="24"/>
          <w:szCs w:val="24"/>
        </w:rPr>
        <w:t>jelenség: halálozások száma</w:t>
      </w:r>
    </w:p>
    <w:p w:rsidR="00C04323" w:rsidRPr="000359DD" w:rsidRDefault="00C04323" w:rsidP="00135CEC">
      <w:pPr>
        <w:pStyle w:val="Listaszerbekezds"/>
        <w:numPr>
          <w:ilvl w:val="0"/>
          <w:numId w:val="30"/>
        </w:numPr>
        <w:spacing w:line="480" w:lineRule="auto"/>
        <w:jc w:val="both"/>
        <w:rPr>
          <w:rFonts w:cs="Times New Roman"/>
          <w:sz w:val="24"/>
          <w:szCs w:val="24"/>
        </w:rPr>
      </w:pPr>
      <w:r w:rsidRPr="000359DD">
        <w:rPr>
          <w:rFonts w:cs="Times New Roman"/>
          <w:sz w:val="24"/>
          <w:szCs w:val="24"/>
        </w:rPr>
        <w:t>év: 2000</w:t>
      </w:r>
    </w:p>
    <w:p w:rsidR="00C04323" w:rsidRPr="000359DD" w:rsidRDefault="00C04323" w:rsidP="00135CEC">
      <w:pPr>
        <w:pStyle w:val="Listaszerbekezds"/>
        <w:numPr>
          <w:ilvl w:val="0"/>
          <w:numId w:val="30"/>
        </w:numPr>
        <w:spacing w:line="480" w:lineRule="auto"/>
        <w:jc w:val="both"/>
        <w:rPr>
          <w:rFonts w:cs="Times New Roman"/>
          <w:sz w:val="24"/>
          <w:szCs w:val="24"/>
        </w:rPr>
      </w:pPr>
      <w:r w:rsidRPr="000359DD">
        <w:rPr>
          <w:rFonts w:cs="Times New Roman"/>
          <w:sz w:val="24"/>
          <w:szCs w:val="24"/>
        </w:rPr>
        <w:t>forrás: t-star2</w:t>
      </w:r>
    </w:p>
    <w:p w:rsidR="00C04323" w:rsidRPr="000359DD" w:rsidRDefault="00C04323" w:rsidP="00135CEC">
      <w:pPr>
        <w:pStyle w:val="Listaszerbekezds"/>
        <w:numPr>
          <w:ilvl w:val="0"/>
          <w:numId w:val="30"/>
        </w:numPr>
        <w:spacing w:line="480" w:lineRule="auto"/>
        <w:jc w:val="both"/>
        <w:rPr>
          <w:rFonts w:cs="Times New Roman"/>
          <w:sz w:val="24"/>
          <w:szCs w:val="24"/>
        </w:rPr>
      </w:pPr>
      <w:r w:rsidRPr="000359DD">
        <w:rPr>
          <w:rFonts w:cs="Times New Roman"/>
          <w:sz w:val="24"/>
          <w:szCs w:val="24"/>
        </w:rPr>
        <w:lastRenderedPageBreak/>
        <w:t>DIPO: igen</w:t>
      </w:r>
    </w:p>
    <w:p w:rsidR="00C04323" w:rsidRPr="000359DD" w:rsidRDefault="00C04323" w:rsidP="00135CEC">
      <w:pPr>
        <w:pStyle w:val="Listaszerbekezds"/>
        <w:numPr>
          <w:ilvl w:val="0"/>
          <w:numId w:val="30"/>
        </w:numPr>
        <w:spacing w:line="480" w:lineRule="auto"/>
        <w:jc w:val="both"/>
        <w:rPr>
          <w:rFonts w:cs="Times New Roman"/>
          <w:sz w:val="24"/>
          <w:szCs w:val="24"/>
        </w:rPr>
      </w:pPr>
      <w:r w:rsidRPr="000359DD">
        <w:rPr>
          <w:rFonts w:cs="Times New Roman"/>
          <w:sz w:val="24"/>
          <w:szCs w:val="24"/>
        </w:rPr>
        <w:t>függvény: darab</w:t>
      </w:r>
    </w:p>
    <w:p w:rsidR="00C04323" w:rsidRPr="000359DD" w:rsidRDefault="00C04323" w:rsidP="00135CEC">
      <w:pPr>
        <w:pStyle w:val="Listaszerbekezds"/>
        <w:numPr>
          <w:ilvl w:val="0"/>
          <w:numId w:val="30"/>
        </w:numPr>
        <w:spacing w:line="480" w:lineRule="auto"/>
        <w:jc w:val="both"/>
        <w:rPr>
          <w:rFonts w:cs="Times New Roman"/>
          <w:sz w:val="24"/>
          <w:szCs w:val="24"/>
        </w:rPr>
      </w:pPr>
      <w:r w:rsidRPr="000359DD">
        <w:rPr>
          <w:rFonts w:cs="Times New Roman"/>
          <w:sz w:val="24"/>
          <w:szCs w:val="24"/>
        </w:rPr>
        <w:t>függvény: összegzés.</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Azaz, 8 kattintásból megkapjuk ugyan azt az eredményt (mind a 19 települést egy táblázatban (vö. 1. táblázat)).</w:t>
      </w:r>
    </w:p>
    <w:p w:rsidR="00C04323" w:rsidRPr="00567B8D" w:rsidRDefault="00980CF7" w:rsidP="00135CEC">
      <w:pPr>
        <w:pStyle w:val="Kpalrs"/>
        <w:keepNext/>
        <w:spacing w:line="480" w:lineRule="auto"/>
        <w:jc w:val="center"/>
        <w:rPr>
          <w:rFonts w:cs="Times New Roman"/>
          <w:color w:val="auto"/>
          <w:sz w:val="20"/>
          <w:szCs w:val="20"/>
        </w:rPr>
      </w:pPr>
      <w:r w:rsidRPr="00567B8D">
        <w:rPr>
          <w:rFonts w:cs="Times New Roman"/>
          <w:color w:val="auto"/>
          <w:sz w:val="20"/>
          <w:szCs w:val="20"/>
        </w:rPr>
        <w:fldChar w:fldCharType="begin"/>
      </w:r>
      <w:r w:rsidR="00C04323" w:rsidRPr="00567B8D">
        <w:rPr>
          <w:rFonts w:cs="Times New Roman"/>
          <w:color w:val="auto"/>
          <w:sz w:val="20"/>
          <w:szCs w:val="20"/>
        </w:rPr>
        <w:instrText xml:space="preserve"> SEQ táblázat \* ARABIC </w:instrText>
      </w:r>
      <w:r w:rsidRPr="00567B8D">
        <w:rPr>
          <w:rFonts w:cs="Times New Roman"/>
          <w:color w:val="auto"/>
          <w:sz w:val="20"/>
          <w:szCs w:val="20"/>
        </w:rPr>
        <w:fldChar w:fldCharType="separate"/>
      </w:r>
      <w:bookmarkStart w:id="8" w:name="_Toc241996307"/>
      <w:r w:rsidR="00A92727" w:rsidRPr="00567B8D">
        <w:rPr>
          <w:rFonts w:cs="Times New Roman"/>
          <w:noProof/>
          <w:color w:val="auto"/>
          <w:sz w:val="20"/>
          <w:szCs w:val="20"/>
        </w:rPr>
        <w:t>1</w:t>
      </w:r>
      <w:r w:rsidRPr="00567B8D">
        <w:rPr>
          <w:rFonts w:cs="Times New Roman"/>
          <w:color w:val="auto"/>
          <w:sz w:val="20"/>
          <w:szCs w:val="20"/>
        </w:rPr>
        <w:fldChar w:fldCharType="end"/>
      </w:r>
      <w:r w:rsidR="00C04323" w:rsidRPr="00567B8D">
        <w:rPr>
          <w:rFonts w:cs="Times New Roman"/>
          <w:color w:val="auto"/>
          <w:sz w:val="20"/>
          <w:szCs w:val="20"/>
        </w:rPr>
        <w:t>. táblázat 2000-ben történt halálozások száma a DIPO településein,</w:t>
      </w:r>
      <w:r w:rsidR="00095635" w:rsidRPr="00567B8D">
        <w:rPr>
          <w:rFonts w:cs="Times New Roman"/>
          <w:color w:val="auto"/>
          <w:sz w:val="20"/>
          <w:szCs w:val="20"/>
        </w:rPr>
        <w:t xml:space="preserve"> </w:t>
      </w:r>
      <w:r w:rsidR="00C04323" w:rsidRPr="00567B8D">
        <w:rPr>
          <w:rFonts w:cs="Times New Roman"/>
          <w:color w:val="auto"/>
          <w:sz w:val="20"/>
          <w:szCs w:val="20"/>
        </w:rPr>
        <w:t>DIPO OLAP lekérdezés alapján</w:t>
      </w:r>
      <w:bookmarkEnd w:id="8"/>
    </w:p>
    <w:p w:rsidR="00C04323" w:rsidRPr="000359DD" w:rsidRDefault="00C04323" w:rsidP="00135CEC">
      <w:pPr>
        <w:pStyle w:val="Cmsor2"/>
        <w:numPr>
          <w:ilvl w:val="0"/>
          <w:numId w:val="0"/>
        </w:numPr>
        <w:spacing w:after="0" w:line="480" w:lineRule="auto"/>
        <w:ind w:left="576" w:hanging="576"/>
        <w:rPr>
          <w:rFonts w:cs="Times New Roman"/>
          <w:sz w:val="24"/>
          <w:szCs w:val="24"/>
        </w:rPr>
      </w:pPr>
      <w:r w:rsidRPr="000359DD">
        <w:rPr>
          <w:rFonts w:cs="Times New Roman"/>
          <w:sz w:val="24"/>
          <w:szCs w:val="24"/>
        </w:rPr>
        <w:t>Alkalmazott módszertan</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 xml:space="preserve">Amennyiben egymástól eltérő nagyságrendű objektumokat (pl. település vs. ország) kívánunk összevetni, akkor az abszolút számok szintjén nem lehet értelmes következtetésre jutni, vagyis Magyarországon természetesen többen születnek, mint annak bármely településén. Az eltérő nagyságrendű objektumok összehasonlítására valamilyen </w:t>
      </w:r>
      <w:r w:rsidRPr="000359DD">
        <w:rPr>
          <w:rFonts w:cs="Times New Roman"/>
          <w:b/>
          <w:sz w:val="24"/>
          <w:szCs w:val="24"/>
        </w:rPr>
        <w:t>vetítési alapot</w:t>
      </w:r>
      <w:r w:rsidRPr="000359DD">
        <w:rPr>
          <w:rFonts w:cs="Times New Roman"/>
          <w:sz w:val="24"/>
          <w:szCs w:val="24"/>
        </w:rPr>
        <w:t xml:space="preserve"> célszerű választani, jelen esetben ez a „Lakónépesség száma az év közepén” attribútum volt, így a relatív adatok már tetszőleges méretű objektumok esetén összevethetők. Azonban ezen származtatott adatok esetén sem jelent önmagában semmit a klasszikus leíró statisztikai értelmezés, miszerint az adott településen több/kevesebb gyermek születik, mint az országos átlag, hiszen ez a szám lehet relatíve sok, illetve relatíve kevés is a keretfeltételek függvényében.</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 xml:space="preserve">Fontos az egyes mutatószámok </w:t>
      </w:r>
      <w:r w:rsidRPr="000359DD">
        <w:rPr>
          <w:rFonts w:cs="Times New Roman"/>
          <w:b/>
          <w:sz w:val="24"/>
          <w:szCs w:val="24"/>
        </w:rPr>
        <w:t>irányultsága</w:t>
      </w:r>
      <w:r w:rsidRPr="000359DD">
        <w:rPr>
          <w:rFonts w:cs="Times New Roman"/>
          <w:sz w:val="24"/>
          <w:szCs w:val="24"/>
        </w:rPr>
        <w:t>, hiszen ezek nem feltétlenül azonosak, vagyis van olyan mutató, ahol a minél kisebb annál jobb, van, ahol viszont a minél nagyobb annál jobb elv érvényesül és e szempont szerint kell vizsgálni két érték viszonyát.</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„Az érték fogalma az attribútumok értékeihez köthető, s alapvetően nem emberi preferenciákat, hanem modell-építési restrikciókat jelent” (Pitlik, 2008).</w:t>
      </w:r>
    </w:p>
    <w:p w:rsidR="00C04323" w:rsidRPr="000359DD" w:rsidRDefault="00C04323" w:rsidP="00135CEC">
      <w:pPr>
        <w:pStyle w:val="Cmsor3"/>
        <w:numPr>
          <w:ilvl w:val="0"/>
          <w:numId w:val="0"/>
        </w:numPr>
        <w:spacing w:after="0" w:line="480" w:lineRule="auto"/>
        <w:ind w:left="720" w:hanging="720"/>
        <w:rPr>
          <w:rFonts w:cs="Times New Roman"/>
          <w:sz w:val="24"/>
          <w:szCs w:val="24"/>
        </w:rPr>
      </w:pPr>
      <w:r w:rsidRPr="000359DD">
        <w:rPr>
          <w:rFonts w:cs="Times New Roman"/>
          <w:sz w:val="24"/>
          <w:szCs w:val="24"/>
        </w:rPr>
        <w:t>A bázisérték fogalma, értelmezési típushelyzetek feltárása</w:t>
      </w:r>
    </w:p>
    <w:p w:rsidR="00C04323" w:rsidRPr="000359DD" w:rsidRDefault="00C04323" w:rsidP="00135CEC">
      <w:pPr>
        <w:spacing w:line="480" w:lineRule="auto"/>
        <w:jc w:val="both"/>
        <w:rPr>
          <w:rFonts w:cs="Times New Roman"/>
          <w:sz w:val="24"/>
          <w:szCs w:val="24"/>
        </w:rPr>
      </w:pPr>
      <w:r w:rsidRPr="000359DD">
        <w:rPr>
          <w:rFonts w:cs="Times New Roman"/>
          <w:b/>
          <w:sz w:val="24"/>
          <w:szCs w:val="24"/>
        </w:rPr>
        <w:t>„A stratégia-tervezési reform</w:t>
      </w:r>
      <w:r w:rsidRPr="000359DD">
        <w:rPr>
          <w:rFonts w:cs="Times New Roman"/>
          <w:sz w:val="24"/>
          <w:szCs w:val="24"/>
        </w:rPr>
        <w:t xml:space="preserve"> fel kell, hogy tárjon minél több (a későbbiekben automatizálható) elemzési típushelyzetet, vagyis a bázisérték fogalmát operatív részletességgel kell, hogy definiálja” (Pitlik, 2009).</w:t>
      </w:r>
    </w:p>
    <w:p w:rsidR="00C04323" w:rsidRPr="000359DD" w:rsidRDefault="00C04323" w:rsidP="00135CEC">
      <w:pPr>
        <w:spacing w:line="480" w:lineRule="auto"/>
        <w:jc w:val="both"/>
        <w:rPr>
          <w:rFonts w:cs="Times New Roman"/>
          <w:sz w:val="24"/>
          <w:szCs w:val="24"/>
        </w:rPr>
      </w:pPr>
      <w:r w:rsidRPr="000359DD">
        <w:rPr>
          <w:rFonts w:cs="Times New Roman"/>
          <w:sz w:val="24"/>
          <w:szCs w:val="24"/>
        </w:rPr>
        <w:lastRenderedPageBreak/>
        <w:t xml:space="preserve">A </w:t>
      </w:r>
      <w:r w:rsidRPr="000359DD">
        <w:rPr>
          <w:rFonts w:cs="Times New Roman"/>
          <w:b/>
          <w:sz w:val="24"/>
          <w:szCs w:val="24"/>
        </w:rPr>
        <w:t>bázisérték</w:t>
      </w:r>
      <w:r w:rsidRPr="000359DD">
        <w:rPr>
          <w:rFonts w:cs="Times New Roman"/>
          <w:sz w:val="24"/>
          <w:szCs w:val="24"/>
        </w:rPr>
        <w:t xml:space="preserve"> szakirodalmi közelítése leíró statisztikák készítésében valósul meg. A tények és becslések</w:t>
      </w:r>
      <w:r w:rsidRPr="000359DD">
        <w:rPr>
          <w:rStyle w:val="Lbjegyzet-hivatkozs"/>
          <w:rFonts w:cs="Times New Roman"/>
          <w:sz w:val="24"/>
          <w:szCs w:val="24"/>
        </w:rPr>
        <w:footnoteReference w:id="4"/>
      </w:r>
      <w:r w:rsidRPr="000359DD">
        <w:rPr>
          <w:rFonts w:cs="Times New Roman"/>
          <w:sz w:val="24"/>
          <w:szCs w:val="24"/>
        </w:rPr>
        <w:t xml:space="preserve"> idősoros alakulása kapcsán tehát az alábbi mintákhoz hasonló </w:t>
      </w:r>
      <w:r w:rsidRPr="000359DD">
        <w:rPr>
          <w:rFonts w:cs="Times New Roman"/>
          <w:sz w:val="24"/>
          <w:szCs w:val="24"/>
          <w:u w:val="single"/>
        </w:rPr>
        <w:t>típushelyzetek</w:t>
      </w:r>
      <w:r w:rsidRPr="000359DD">
        <w:rPr>
          <w:rFonts w:cs="Times New Roman"/>
          <w:sz w:val="24"/>
          <w:szCs w:val="24"/>
        </w:rPr>
        <w:t xml:space="preserve"> lesznek közölhetők, mint pl.:</w:t>
      </w:r>
    </w:p>
    <w:p w:rsidR="00C04323" w:rsidRPr="000359DD" w:rsidRDefault="00C04323" w:rsidP="00135CEC">
      <w:pPr>
        <w:pStyle w:val="Listaszerbekezds"/>
        <w:numPr>
          <w:ilvl w:val="0"/>
          <w:numId w:val="15"/>
        </w:numPr>
        <w:spacing w:line="480" w:lineRule="auto"/>
        <w:jc w:val="both"/>
        <w:rPr>
          <w:rFonts w:cs="Times New Roman"/>
          <w:sz w:val="24"/>
          <w:szCs w:val="24"/>
        </w:rPr>
      </w:pPr>
      <w:r w:rsidRPr="000359DD">
        <w:rPr>
          <w:rFonts w:cs="Times New Roman"/>
          <w:sz w:val="24"/>
          <w:szCs w:val="24"/>
        </w:rPr>
        <w:t>a relatív adatokat tartalmazó idősor folyamatosan meghaladja az ideális ívet leíró görbét → jó / rossz</w:t>
      </w:r>
    </w:p>
    <w:p w:rsidR="00C04323" w:rsidRPr="000359DD" w:rsidRDefault="00C04323" w:rsidP="00135CEC">
      <w:pPr>
        <w:pStyle w:val="Listaszerbekezds"/>
        <w:numPr>
          <w:ilvl w:val="0"/>
          <w:numId w:val="15"/>
        </w:numPr>
        <w:spacing w:line="480" w:lineRule="auto"/>
        <w:jc w:val="both"/>
        <w:rPr>
          <w:rFonts w:cs="Times New Roman"/>
          <w:sz w:val="24"/>
          <w:szCs w:val="24"/>
        </w:rPr>
      </w:pPr>
      <w:r w:rsidRPr="000359DD">
        <w:rPr>
          <w:rFonts w:cs="Times New Roman"/>
          <w:sz w:val="24"/>
          <w:szCs w:val="24"/>
        </w:rPr>
        <w:t>az abszolút és a becsült értékek x év alatt folyamatosan közelednek egymáshoz / távolodnak egymástól / adott időponttól ez egyik meghaladja a másikat → romló / javuló keresztezés tapasztalható</w:t>
      </w:r>
    </w:p>
    <w:p w:rsidR="00C04323" w:rsidRPr="000359DD" w:rsidRDefault="00C04323" w:rsidP="00135CEC">
      <w:pPr>
        <w:spacing w:line="480" w:lineRule="auto"/>
        <w:ind w:left="426"/>
        <w:jc w:val="both"/>
        <w:rPr>
          <w:rFonts w:cs="Times New Roman"/>
          <w:sz w:val="24"/>
          <w:szCs w:val="24"/>
        </w:rPr>
      </w:pPr>
      <w:r w:rsidRPr="000359DD">
        <w:rPr>
          <w:rFonts w:cs="Times New Roman"/>
          <w:sz w:val="24"/>
          <w:szCs w:val="24"/>
        </w:rPr>
        <w:t>↓</w:t>
      </w:r>
    </w:p>
    <w:p w:rsidR="00C04323" w:rsidRPr="000359DD" w:rsidRDefault="00C04323" w:rsidP="00135CEC">
      <w:pPr>
        <w:spacing w:line="480" w:lineRule="auto"/>
        <w:ind w:left="284"/>
        <w:jc w:val="both"/>
        <w:rPr>
          <w:rFonts w:cs="Times New Roman"/>
          <w:sz w:val="24"/>
          <w:szCs w:val="24"/>
        </w:rPr>
      </w:pPr>
      <w:r w:rsidRPr="000359DD">
        <w:rPr>
          <w:rFonts w:cs="Times New Roman"/>
          <w:sz w:val="24"/>
          <w:szCs w:val="24"/>
          <w:u w:val="single"/>
        </w:rPr>
        <w:t>konklúziók</w:t>
      </w:r>
      <w:r w:rsidRPr="000359DD">
        <w:rPr>
          <w:rFonts w:cs="Times New Roman"/>
          <w:sz w:val="24"/>
          <w:szCs w:val="24"/>
        </w:rPr>
        <w:t xml:space="preserve"> megfogalmazása, pl.: cél a jelenlegi ideális állapot megtartása / még jobbá tétele, vagy cél a folyamatosan romló tendencia megállítása, visszafordítása, adott probléma idealizálása a lehetőségek, illetve a rendelkezésre álló erőforrások minél mélyebb szintű kiaknázása révén</w:t>
      </w:r>
    </w:p>
    <w:p w:rsidR="00C04323" w:rsidRPr="000359DD" w:rsidRDefault="00C04323" w:rsidP="00135CEC">
      <w:pPr>
        <w:keepNext/>
        <w:spacing w:line="480" w:lineRule="auto"/>
        <w:jc w:val="both"/>
        <w:rPr>
          <w:rFonts w:cs="Times New Roman"/>
          <w:i/>
          <w:sz w:val="24"/>
          <w:szCs w:val="24"/>
          <w:u w:val="single"/>
        </w:rPr>
      </w:pPr>
      <w:r w:rsidRPr="000359DD">
        <w:rPr>
          <w:rFonts w:cs="Times New Roman"/>
          <w:i/>
          <w:sz w:val="24"/>
          <w:szCs w:val="24"/>
          <w:u w:val="single"/>
        </w:rPr>
        <w:t>Példa</w:t>
      </w:r>
    </w:p>
    <w:p w:rsidR="00614237" w:rsidRDefault="00C04323" w:rsidP="00614237">
      <w:pPr>
        <w:spacing w:line="480" w:lineRule="auto"/>
        <w:jc w:val="both"/>
        <w:rPr>
          <w:rFonts w:cs="Times New Roman"/>
          <w:sz w:val="24"/>
          <w:szCs w:val="24"/>
        </w:rPr>
      </w:pPr>
      <w:r w:rsidRPr="000359DD">
        <w:rPr>
          <w:rFonts w:cs="Times New Roman"/>
          <w:sz w:val="24"/>
          <w:szCs w:val="24"/>
        </w:rPr>
        <w:t>Ha a külföldiek által eltöltött vendégéjszakák (1 millió főre vetített) számát vizsgáljuk a DIPO területén, és ezen belül kiemeljük a kempingekben eltöltött vendégéjszakák számát (szintén millió főre levetítve), akkor az alábbi következtetéseket vonhatjuk le:</w:t>
      </w:r>
    </w:p>
    <w:p w:rsidR="00C04323" w:rsidRPr="00567B8D" w:rsidRDefault="00980CF7" w:rsidP="00614237">
      <w:pPr>
        <w:spacing w:line="480" w:lineRule="auto"/>
        <w:jc w:val="center"/>
        <w:rPr>
          <w:rFonts w:cs="Times New Roman"/>
          <w:b/>
          <w:sz w:val="20"/>
          <w:szCs w:val="20"/>
        </w:rPr>
      </w:pPr>
      <w:r w:rsidRPr="00567B8D">
        <w:rPr>
          <w:rFonts w:cs="Times New Roman"/>
          <w:b/>
          <w:sz w:val="20"/>
          <w:szCs w:val="20"/>
        </w:rPr>
        <w:fldChar w:fldCharType="begin"/>
      </w:r>
      <w:r w:rsidR="00C04323" w:rsidRPr="00567B8D">
        <w:rPr>
          <w:rFonts w:cs="Times New Roman"/>
          <w:b/>
          <w:sz w:val="20"/>
          <w:szCs w:val="20"/>
        </w:rPr>
        <w:instrText xml:space="preserve"> SEQ ábra \* ARABIC </w:instrText>
      </w:r>
      <w:r w:rsidRPr="00567B8D">
        <w:rPr>
          <w:rFonts w:cs="Times New Roman"/>
          <w:b/>
          <w:sz w:val="20"/>
          <w:szCs w:val="20"/>
        </w:rPr>
        <w:fldChar w:fldCharType="separate"/>
      </w:r>
      <w:bookmarkStart w:id="9" w:name="_Toc241996309"/>
      <w:r w:rsidR="00A92727" w:rsidRPr="00567B8D">
        <w:rPr>
          <w:rFonts w:cs="Times New Roman"/>
          <w:b/>
          <w:noProof/>
          <w:sz w:val="20"/>
          <w:szCs w:val="20"/>
        </w:rPr>
        <w:t>1</w:t>
      </w:r>
      <w:r w:rsidRPr="00567B8D">
        <w:rPr>
          <w:rFonts w:cs="Times New Roman"/>
          <w:b/>
          <w:sz w:val="20"/>
          <w:szCs w:val="20"/>
        </w:rPr>
        <w:fldChar w:fldCharType="end"/>
      </w:r>
      <w:r w:rsidR="00C04323" w:rsidRPr="00567B8D">
        <w:rPr>
          <w:rFonts w:cs="Times New Roman"/>
          <w:b/>
          <w:sz w:val="20"/>
          <w:szCs w:val="20"/>
        </w:rPr>
        <w:t>. ábra A külföldiek által eltöltött vendégéjszakák száma a kereskedelmi szálláshelyeken a DIPO területén 2000-2007)</w:t>
      </w:r>
      <w:bookmarkEnd w:id="9"/>
    </w:p>
    <w:p w:rsidR="00C04323" w:rsidRPr="000359DD" w:rsidRDefault="00C04323" w:rsidP="00135CEC">
      <w:pPr>
        <w:spacing w:line="480" w:lineRule="auto"/>
        <w:jc w:val="both"/>
        <w:rPr>
          <w:rFonts w:cs="Times New Roman"/>
          <w:sz w:val="24"/>
          <w:szCs w:val="24"/>
        </w:rPr>
      </w:pPr>
      <w:r w:rsidRPr="000359DD">
        <w:rPr>
          <w:rFonts w:cs="Times New Roman"/>
          <w:sz w:val="24"/>
          <w:szCs w:val="24"/>
        </w:rPr>
        <w:t xml:space="preserve">Míg az összes kereskedelmi szálláshelyen, a külföldi vendégek által eltöltött vendégéjszakák számában 2005 után kedvező változás mutatkozik, addig a kempingekben eltöltött vendégéjszakák száma folyamatosan romló tendenciát mutat, emellett a becsült és a tény értékek folyamatosan távolodnak egymástól. Célként fogalmazható meg, hogy mihamarabbi beavatkozás szükséges a kempingek esetében: azok számát bővíteni kell, </w:t>
      </w:r>
      <w:r w:rsidRPr="000359DD">
        <w:rPr>
          <w:rFonts w:cs="Times New Roman"/>
          <w:sz w:val="24"/>
          <w:szCs w:val="24"/>
        </w:rPr>
        <w:lastRenderedPageBreak/>
        <w:t>emelni kell az ottani ellátás színvonalát, fejleszteni kell a személyzet idegen nyelvi készségét, stb.</w:t>
      </w:r>
      <w:r w:rsidRPr="000359DD" w:rsidDel="00247BD3">
        <w:rPr>
          <w:rFonts w:cs="Times New Roman"/>
          <w:sz w:val="24"/>
          <w:szCs w:val="24"/>
        </w:rPr>
        <w:t xml:space="preserve"> </w:t>
      </w:r>
      <w:r w:rsidRPr="000359DD">
        <w:rPr>
          <w:rFonts w:cs="Times New Roman"/>
          <w:sz w:val="24"/>
          <w:szCs w:val="24"/>
        </w:rPr>
        <w:t>← a problémamegoldás részletei adatok hiányában (pl. nyelvismeret szintje) gyakran átcsúsznak az intuitív/asszociatív (vö. Vonnegut) értelmezések talajára, mely kiegészítésére született maga a hasonlóságelemzésre alapozott helyzetátvilágítás és típushelyzet feltárás módszertana…</w:t>
      </w:r>
    </w:p>
    <w:p w:rsidR="00C04323" w:rsidRPr="00567B8D" w:rsidRDefault="00980CF7" w:rsidP="00135CEC">
      <w:pPr>
        <w:pStyle w:val="Kpalrs"/>
        <w:keepNext/>
        <w:spacing w:line="480" w:lineRule="auto"/>
        <w:jc w:val="center"/>
        <w:rPr>
          <w:rFonts w:cs="Times New Roman"/>
          <w:color w:val="auto"/>
          <w:sz w:val="20"/>
          <w:szCs w:val="20"/>
        </w:rPr>
      </w:pPr>
      <w:r w:rsidRPr="00567B8D">
        <w:rPr>
          <w:rFonts w:cs="Times New Roman"/>
          <w:color w:val="auto"/>
          <w:sz w:val="20"/>
          <w:szCs w:val="20"/>
        </w:rPr>
        <w:fldChar w:fldCharType="begin"/>
      </w:r>
      <w:r w:rsidR="00C04323" w:rsidRPr="00567B8D">
        <w:rPr>
          <w:rFonts w:cs="Times New Roman"/>
          <w:color w:val="auto"/>
          <w:sz w:val="20"/>
          <w:szCs w:val="20"/>
        </w:rPr>
        <w:instrText xml:space="preserve"> SEQ ábra \* ARABIC </w:instrText>
      </w:r>
      <w:r w:rsidRPr="00567B8D">
        <w:rPr>
          <w:rFonts w:cs="Times New Roman"/>
          <w:color w:val="auto"/>
          <w:sz w:val="20"/>
          <w:szCs w:val="20"/>
        </w:rPr>
        <w:fldChar w:fldCharType="separate"/>
      </w:r>
      <w:bookmarkStart w:id="10" w:name="_Toc241996311"/>
      <w:r w:rsidR="00A92727" w:rsidRPr="00567B8D">
        <w:rPr>
          <w:rFonts w:cs="Times New Roman"/>
          <w:noProof/>
          <w:color w:val="auto"/>
          <w:sz w:val="20"/>
          <w:szCs w:val="20"/>
        </w:rPr>
        <w:t>2</w:t>
      </w:r>
      <w:r w:rsidRPr="00567B8D">
        <w:rPr>
          <w:rFonts w:cs="Times New Roman"/>
          <w:color w:val="auto"/>
          <w:sz w:val="20"/>
          <w:szCs w:val="20"/>
        </w:rPr>
        <w:fldChar w:fldCharType="end"/>
      </w:r>
      <w:r w:rsidR="00C04323" w:rsidRPr="00567B8D">
        <w:rPr>
          <w:rFonts w:cs="Times New Roman"/>
          <w:color w:val="auto"/>
          <w:sz w:val="20"/>
          <w:szCs w:val="20"/>
        </w:rPr>
        <w:t>. ábra A külföldiek által eltöltött vendégéjszakák száma a kempingekben</w:t>
      </w:r>
      <w:r w:rsidR="00095635" w:rsidRPr="00567B8D">
        <w:rPr>
          <w:rFonts w:cs="Times New Roman"/>
          <w:color w:val="auto"/>
          <w:sz w:val="20"/>
          <w:szCs w:val="20"/>
        </w:rPr>
        <w:t xml:space="preserve"> </w:t>
      </w:r>
      <w:r w:rsidR="00C04323" w:rsidRPr="00567B8D">
        <w:rPr>
          <w:rFonts w:cs="Times New Roman"/>
          <w:color w:val="auto"/>
          <w:sz w:val="20"/>
          <w:szCs w:val="20"/>
        </w:rPr>
        <w:t>a DIPO területén</w:t>
      </w:r>
      <w:bookmarkEnd w:id="10"/>
    </w:p>
    <w:p w:rsidR="00C04323" w:rsidRPr="000359DD" w:rsidRDefault="00C04323" w:rsidP="00135CEC">
      <w:pPr>
        <w:spacing w:line="480" w:lineRule="auto"/>
        <w:jc w:val="both"/>
        <w:rPr>
          <w:rFonts w:cs="Times New Roman"/>
          <w:sz w:val="24"/>
          <w:szCs w:val="24"/>
        </w:rPr>
      </w:pPr>
      <w:r w:rsidRPr="000359DD">
        <w:rPr>
          <w:rFonts w:cs="Times New Roman"/>
          <w:sz w:val="24"/>
          <w:szCs w:val="24"/>
        </w:rPr>
        <w:t xml:space="preserve">Minden objektum (település, DIPO, kistérség, megye, statisztikai régió, ország, EU) egymáshoz képest kaphat csak alulértékelt, egyensúlyi, felülértékelt jelzőt statikusan (pl. évente). Ez nem más, mint az objektumok cél nélküli </w:t>
      </w:r>
      <w:r w:rsidRPr="000359DD">
        <w:rPr>
          <w:rFonts w:cs="Times New Roman"/>
          <w:b/>
          <w:sz w:val="24"/>
          <w:szCs w:val="24"/>
        </w:rPr>
        <w:t>rangsorolása</w:t>
      </w:r>
      <w:r w:rsidRPr="000359DD">
        <w:rPr>
          <w:rFonts w:cs="Times New Roman"/>
          <w:sz w:val="24"/>
          <w:szCs w:val="24"/>
        </w:rPr>
        <w:t>.</w:t>
      </w:r>
    </w:p>
    <w:p w:rsidR="00C04323" w:rsidRPr="000359DD" w:rsidRDefault="00C04323" w:rsidP="00135CEC">
      <w:pPr>
        <w:pStyle w:val="lfej"/>
        <w:tabs>
          <w:tab w:val="clear" w:pos="4536"/>
          <w:tab w:val="clear" w:pos="9072"/>
        </w:tabs>
        <w:spacing w:line="480" w:lineRule="auto"/>
        <w:jc w:val="both"/>
        <w:rPr>
          <w:rFonts w:cs="Times New Roman"/>
          <w:sz w:val="24"/>
          <w:szCs w:val="24"/>
        </w:rPr>
      </w:pPr>
      <w:r w:rsidRPr="000359DD">
        <w:rPr>
          <w:rFonts w:cs="Times New Roman"/>
          <w:sz w:val="24"/>
          <w:szCs w:val="24"/>
        </w:rPr>
        <w:t xml:space="preserve">E célt szolgálja a </w:t>
      </w:r>
      <w:r w:rsidRPr="000359DD">
        <w:rPr>
          <w:rFonts w:cs="Times New Roman"/>
          <w:b/>
          <w:sz w:val="24"/>
          <w:szCs w:val="24"/>
        </w:rPr>
        <w:t>hasonlóságelemzés</w:t>
      </w:r>
      <w:r w:rsidRPr="000359DD">
        <w:rPr>
          <w:rFonts w:cs="Times New Roman"/>
          <w:sz w:val="24"/>
          <w:szCs w:val="24"/>
        </w:rPr>
        <w:t>, amely „a valóság tetszőleges múltbeli (és jövőre valószínűsített) részleteinek egymással történő összevetéséről szól. Ezen (számunkra minden fontos és ismert befolyásoló tényezőt tartalmazó mintázataira alapozó) összevetések legkevesebb ellentmondást (inkonzisztenciát) mutató alakzatai tekinthetők (jobb híján) egyensúlyi állapotoknak. … A hasonlóságelemzés képes ideológia-mentesen, azaz minimalizált szubjektív behatások alapján az egyensúlyvesztések irányának (s esetlegesen értékének) feltárására.” (Pitlik, 2008)</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 xml:space="preserve">Az </w:t>
      </w:r>
      <w:r w:rsidRPr="000359DD">
        <w:rPr>
          <w:rFonts w:cs="Times New Roman"/>
          <w:b/>
          <w:sz w:val="24"/>
          <w:szCs w:val="24"/>
        </w:rPr>
        <w:t>objektumok egyensúlyi értékelésének idősoros nézete</w:t>
      </w:r>
      <w:r w:rsidRPr="000359DD">
        <w:rPr>
          <w:rFonts w:cs="Times New Roman"/>
          <w:sz w:val="24"/>
          <w:szCs w:val="24"/>
        </w:rPr>
        <w:t xml:space="preserve"> adja meg az objektum várható sorsának irányát (hanyatló, fellendülő, stagnáló, stb.). Egyensúlyban egy rendszer (HU, EU), akkor van, minden egyes objektuma a stabil, kis ütemben (lehetőleg optimális irányban) változó értékelési mintázatok irányába mutat egyértelmű jeleket.</w:t>
      </w:r>
    </w:p>
    <w:p w:rsidR="00C04323" w:rsidRPr="000359DD" w:rsidRDefault="00C04323" w:rsidP="00135CEC">
      <w:pPr>
        <w:pStyle w:val="Cmsor2"/>
        <w:numPr>
          <w:ilvl w:val="0"/>
          <w:numId w:val="0"/>
        </w:numPr>
        <w:spacing w:after="0" w:line="480" w:lineRule="auto"/>
        <w:ind w:left="576" w:hanging="576"/>
        <w:rPr>
          <w:rFonts w:cs="Times New Roman"/>
          <w:sz w:val="24"/>
          <w:szCs w:val="24"/>
        </w:rPr>
      </w:pPr>
      <w:r w:rsidRPr="000359DD">
        <w:rPr>
          <w:rFonts w:cs="Times New Roman"/>
          <w:sz w:val="24"/>
          <w:szCs w:val="24"/>
        </w:rPr>
        <w:t>Helyi Vidékfejlesztési Stratégia – DIPO Duna-Ipoly HE</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Az elemzések alapja a Helyi Vidékfejlesztési Stratégia által megfogalmazott HPME 28/28 pontja, amely szerint a várható eredmény: „A következő években, a fejlesztést követő 2 év elteltével legalább 100 főnek biztos megélhetést, szándék</w:t>
      </w:r>
      <w:r w:rsidR="00614237">
        <w:rPr>
          <w:rFonts w:cs="Times New Roman"/>
          <w:sz w:val="24"/>
          <w:szCs w:val="24"/>
        </w:rPr>
        <w:t>ozunk megalapozni.”</w:t>
      </w:r>
      <w:r w:rsidRPr="000359DD">
        <w:rPr>
          <w:rFonts w:cs="Times New Roman"/>
          <w:sz w:val="24"/>
          <w:szCs w:val="24"/>
        </w:rPr>
        <w:t>.</w:t>
      </w:r>
    </w:p>
    <w:p w:rsidR="00C04323" w:rsidRPr="00567B8D" w:rsidRDefault="00484B9E" w:rsidP="00135CEC">
      <w:pPr>
        <w:pStyle w:val="Kpalrs"/>
        <w:keepNext/>
        <w:spacing w:line="480" w:lineRule="auto"/>
        <w:jc w:val="center"/>
        <w:rPr>
          <w:rFonts w:cs="Times New Roman"/>
          <w:color w:val="auto"/>
          <w:sz w:val="20"/>
          <w:szCs w:val="20"/>
        </w:rPr>
      </w:pPr>
      <w:bookmarkStart w:id="11" w:name="_Toc241996313"/>
      <w:r w:rsidRPr="00567B8D">
        <w:rPr>
          <w:rFonts w:cs="Times New Roman"/>
          <w:color w:val="auto"/>
          <w:sz w:val="20"/>
          <w:szCs w:val="20"/>
        </w:rPr>
        <w:t>4</w:t>
      </w:r>
      <w:r w:rsidR="00C04323" w:rsidRPr="00567B8D">
        <w:rPr>
          <w:rFonts w:cs="Times New Roman"/>
          <w:color w:val="auto"/>
          <w:sz w:val="20"/>
          <w:szCs w:val="20"/>
        </w:rPr>
        <w:t>. kép A HVS által megfogalmazott HPME (28/28) a DIPO-ra vonatkozóan</w:t>
      </w:r>
      <w:bookmarkEnd w:id="11"/>
    </w:p>
    <w:p w:rsidR="00C04323" w:rsidRPr="000359DD" w:rsidRDefault="00C04323" w:rsidP="00135CEC">
      <w:pPr>
        <w:spacing w:line="480" w:lineRule="auto"/>
        <w:jc w:val="both"/>
        <w:rPr>
          <w:rFonts w:cs="Times New Roman"/>
          <w:sz w:val="24"/>
          <w:szCs w:val="24"/>
        </w:rPr>
      </w:pPr>
      <w:r w:rsidRPr="000359DD">
        <w:rPr>
          <w:rFonts w:cs="Times New Roman"/>
          <w:sz w:val="24"/>
          <w:szCs w:val="24"/>
        </w:rPr>
        <w:t>A HPME kapcsán többek között az alábbi kérdések merülhetnek fel:</w:t>
      </w:r>
    </w:p>
    <w:p w:rsidR="00C04323" w:rsidRPr="000359DD" w:rsidRDefault="00C04323" w:rsidP="00135CEC">
      <w:pPr>
        <w:pStyle w:val="Listaszerbekezds"/>
        <w:numPr>
          <w:ilvl w:val="0"/>
          <w:numId w:val="17"/>
        </w:numPr>
        <w:spacing w:line="480" w:lineRule="auto"/>
        <w:jc w:val="both"/>
        <w:rPr>
          <w:rFonts w:cs="Times New Roman"/>
          <w:sz w:val="24"/>
          <w:szCs w:val="24"/>
        </w:rPr>
      </w:pPr>
      <w:r w:rsidRPr="000359DD">
        <w:rPr>
          <w:rFonts w:cs="Times New Roman"/>
          <w:sz w:val="24"/>
          <w:szCs w:val="24"/>
        </w:rPr>
        <w:lastRenderedPageBreak/>
        <w:t>Van-e esély bármilyen módon a munkanélküliség csökkentésére?</w:t>
      </w:r>
    </w:p>
    <w:p w:rsidR="00C04323" w:rsidRPr="000359DD" w:rsidRDefault="00C04323" w:rsidP="00135CEC">
      <w:pPr>
        <w:pStyle w:val="Listaszerbekezds"/>
        <w:numPr>
          <w:ilvl w:val="0"/>
          <w:numId w:val="17"/>
        </w:numPr>
        <w:spacing w:line="480" w:lineRule="auto"/>
        <w:jc w:val="both"/>
        <w:rPr>
          <w:rFonts w:cs="Times New Roman"/>
          <w:sz w:val="24"/>
          <w:szCs w:val="24"/>
        </w:rPr>
      </w:pPr>
      <w:r w:rsidRPr="000359DD">
        <w:rPr>
          <w:rFonts w:cs="Times New Roman"/>
          <w:sz w:val="24"/>
          <w:szCs w:val="24"/>
        </w:rPr>
        <w:t>Milyen munkanélküliség kategóriákban, milyen mértékben reális a munkanélküliség csökkentése?</w:t>
      </w:r>
    </w:p>
    <w:p w:rsidR="00C04323" w:rsidRPr="000359DD" w:rsidRDefault="00C04323" w:rsidP="00135CEC">
      <w:pPr>
        <w:pStyle w:val="Listaszerbekezds"/>
        <w:numPr>
          <w:ilvl w:val="0"/>
          <w:numId w:val="17"/>
        </w:numPr>
        <w:spacing w:line="480" w:lineRule="auto"/>
        <w:jc w:val="both"/>
        <w:rPr>
          <w:rFonts w:cs="Times New Roman"/>
          <w:sz w:val="24"/>
          <w:szCs w:val="24"/>
        </w:rPr>
      </w:pPr>
      <w:r w:rsidRPr="000359DD">
        <w:rPr>
          <w:rFonts w:cs="Times New Roman"/>
          <w:sz w:val="24"/>
          <w:szCs w:val="24"/>
        </w:rPr>
        <w:t>A DIPO illetve a hozzá tartozó települések környezeti feltételei megfelelnek-e az energianövény termelésnek, a feldolgozó-ipar telepítése / bővítése lehetséges-e?</w:t>
      </w:r>
    </w:p>
    <w:p w:rsidR="00C04323" w:rsidRPr="000359DD" w:rsidRDefault="00C04323" w:rsidP="00135CEC">
      <w:pPr>
        <w:pStyle w:val="Listaszerbekezds"/>
        <w:numPr>
          <w:ilvl w:val="0"/>
          <w:numId w:val="17"/>
        </w:numPr>
        <w:spacing w:line="480" w:lineRule="auto"/>
        <w:jc w:val="both"/>
        <w:rPr>
          <w:rFonts w:cs="Times New Roman"/>
          <w:sz w:val="24"/>
          <w:szCs w:val="24"/>
        </w:rPr>
      </w:pPr>
      <w:r w:rsidRPr="000359DD">
        <w:rPr>
          <w:rFonts w:cs="Times New Roman"/>
          <w:sz w:val="24"/>
          <w:szCs w:val="24"/>
        </w:rPr>
        <w:t>Adottak-e a feltételek hűtőház telepítésre / bővítésre?</w:t>
      </w:r>
    </w:p>
    <w:p w:rsidR="00C04323" w:rsidRPr="000359DD" w:rsidRDefault="00C04323" w:rsidP="00135CEC">
      <w:pPr>
        <w:pStyle w:val="Listaszerbekezds"/>
        <w:numPr>
          <w:ilvl w:val="0"/>
          <w:numId w:val="17"/>
        </w:numPr>
        <w:spacing w:line="480" w:lineRule="auto"/>
        <w:jc w:val="both"/>
        <w:rPr>
          <w:rFonts w:cs="Times New Roman"/>
          <w:sz w:val="24"/>
          <w:szCs w:val="24"/>
        </w:rPr>
      </w:pPr>
      <w:r w:rsidRPr="000359DD">
        <w:rPr>
          <w:rFonts w:cs="Times New Roman"/>
          <w:sz w:val="24"/>
          <w:szCs w:val="24"/>
        </w:rPr>
        <w:t>Milyen méretű és milyen profilú vállalkozás telepítése / bővítése célszerű?</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A program szerint a fejlesztések eredménye mind a 19</w:t>
      </w:r>
      <w:r w:rsidR="00084D0C">
        <w:rPr>
          <w:rFonts w:cs="Times New Roman"/>
          <w:sz w:val="24"/>
          <w:szCs w:val="24"/>
        </w:rPr>
        <w:t xml:space="preserve"> DIPO településen érezhető lesz</w:t>
      </w:r>
      <w:r w:rsidRPr="000359DD">
        <w:rPr>
          <w:rFonts w:cs="Times New Roman"/>
          <w:sz w:val="24"/>
          <w:szCs w:val="24"/>
        </w:rPr>
        <w:t>.</w:t>
      </w:r>
    </w:p>
    <w:p w:rsidR="00C04323" w:rsidRPr="009B5880" w:rsidRDefault="009B5880" w:rsidP="007668E1">
      <w:pPr>
        <w:pStyle w:val="Cmsor1"/>
        <w:numPr>
          <w:ilvl w:val="0"/>
          <w:numId w:val="0"/>
        </w:numPr>
        <w:spacing w:after="0" w:line="480" w:lineRule="auto"/>
        <w:ind w:left="432"/>
        <w:jc w:val="center"/>
        <w:rPr>
          <w:sz w:val="30"/>
          <w:szCs w:val="30"/>
        </w:rPr>
      </w:pPr>
      <w:r w:rsidRPr="009B5880">
        <w:rPr>
          <w:sz w:val="30"/>
          <w:szCs w:val="30"/>
        </w:rPr>
        <w:t>EREDMÉNY ÉS ÉRTÉKELÉS</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Ebben a fejezetben kerülnek részletezésre az elkészült elemzések, melyek által úgymond (előre)jelzést, rálátást kaphatunk arra vonatkozóan, hogy a HVS által a 28/28 HPME várható eredménye milyen mértékben valósítható meg, az elvárások mennyire racionálisak. Hiszen hiába csökkenthető a DIPO területén a munkanélküliség, továbbá hiába lehetséges a gazdasági fejlesztés, ha a kettő nem esik egybe, vagy például ha olyan eset áll fenn, hogy DIPO szinten az összes munkanélküliség mértéke reális, viszont ennek belső struktúrája „számunkra nem megfelelő” (pl. a női munkanélküliség magas, emellett túlságosan nagy a szellemi foglalkoztatású munkanélküliek részaránya</w:t>
      </w:r>
      <w:r w:rsidR="00567B8D">
        <w:rPr>
          <w:rFonts w:cs="Times New Roman"/>
          <w:sz w:val="24"/>
          <w:szCs w:val="24"/>
        </w:rPr>
        <w:t>).</w:t>
      </w:r>
    </w:p>
    <w:p w:rsidR="00C04323" w:rsidRPr="000359DD" w:rsidRDefault="00C04323" w:rsidP="00135CEC">
      <w:pPr>
        <w:pStyle w:val="Cmsor2"/>
        <w:numPr>
          <w:ilvl w:val="0"/>
          <w:numId w:val="0"/>
        </w:numPr>
        <w:spacing w:after="0" w:line="480" w:lineRule="auto"/>
        <w:ind w:left="576" w:hanging="576"/>
        <w:rPr>
          <w:rFonts w:cs="Times New Roman"/>
          <w:sz w:val="24"/>
          <w:szCs w:val="24"/>
        </w:rPr>
      </w:pPr>
      <w:r w:rsidRPr="000359DD">
        <w:rPr>
          <w:rFonts w:cs="Times New Roman"/>
          <w:sz w:val="24"/>
          <w:szCs w:val="24"/>
        </w:rPr>
        <w:t>A munkanélküliség vizsgálata</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Az elemzések először a munkanélküliségre készültek el, amelyek 8 éves időszakot fednek le (2000-2007).</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 xml:space="preserve">A regisztrált, ezen belül a női és a férfi munkanélküliek száma is lehetne kevesebb a DIPO területén! A becslések szerint csökkenthető a munkanélküliség a 180 napon túli női munkanélküliek, az egyetemi végzettségű, a szakiskolai végzettségű, a főiskolai végzettségű munkanélküliek, a női és a férfi pályakezdők, valamint a fizikai foglalkozású munkanélküliek esetében. Korosztály szerinti bontásban a 0-16 éves és a 26-35 éves </w:t>
      </w:r>
      <w:r w:rsidRPr="000359DD">
        <w:rPr>
          <w:rFonts w:cs="Times New Roman"/>
          <w:sz w:val="24"/>
          <w:szCs w:val="24"/>
        </w:rPr>
        <w:lastRenderedPageBreak/>
        <w:t xml:space="preserve">regisztrált munkanélküliek körében van lehetőség a foglalkoztatottság növelésére, amely a bogyósgyümölcs, illetve energianövény ágazatban </w:t>
      </w:r>
      <w:r w:rsidRPr="000359DD">
        <w:rPr>
          <w:rFonts w:cs="Times New Roman"/>
          <w:sz w:val="24"/>
          <w:szCs w:val="24"/>
          <w:u w:val="single"/>
        </w:rPr>
        <w:t>optimális</w:t>
      </w:r>
      <w:r w:rsidRPr="000359DD">
        <w:rPr>
          <w:rFonts w:cs="Times New Roman"/>
          <w:sz w:val="24"/>
          <w:szCs w:val="24"/>
        </w:rPr>
        <w:t>.</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A felsoroltak közül az egyetemi és a főiskolai végzettségű munkanélküliek foglalkoztatása nem igazán ideális az energia növények termelése és feldolgozása, illetve a gyümölcs ágazat termékeinek feldolgozása esetén.</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 xml:space="preserve">Az előrejelzések alapján </w:t>
      </w:r>
      <w:r w:rsidRPr="000359DD">
        <w:rPr>
          <w:rFonts w:cs="Times New Roman"/>
          <w:sz w:val="24"/>
          <w:szCs w:val="24"/>
          <w:u w:val="single"/>
        </w:rPr>
        <w:t>nincs lehetőség a munkanélküliség csökkentésére</w:t>
      </w:r>
      <w:r w:rsidRPr="000359DD">
        <w:rPr>
          <w:rFonts w:cs="Times New Roman"/>
          <w:sz w:val="24"/>
          <w:szCs w:val="24"/>
        </w:rPr>
        <w:t xml:space="preserve"> az általános iskolai végzettségű, illetve a 8 osztálynál kevesebbet végzett álláskeresők esetében </w:t>
      </w:r>
      <w:r w:rsidRPr="000359DD">
        <w:rPr>
          <w:rFonts w:cs="Times New Roman"/>
          <w:sz w:val="24"/>
          <w:szCs w:val="24"/>
          <w:u w:val="single"/>
        </w:rPr>
        <w:t>DIPO szinten</w:t>
      </w:r>
      <w:r w:rsidRPr="000359DD">
        <w:rPr>
          <w:rFonts w:cs="Times New Roman"/>
          <w:sz w:val="24"/>
          <w:szCs w:val="24"/>
        </w:rPr>
        <w:t xml:space="preserve">, pedig ilyen jellegű munkaerő kellene tartósan a tervezett bogyós ágazathoz! E mutatók </w:t>
      </w:r>
      <w:r w:rsidRPr="000359DD">
        <w:rPr>
          <w:rFonts w:cs="Times New Roman"/>
          <w:i/>
          <w:sz w:val="24"/>
          <w:szCs w:val="24"/>
          <w:u w:val="single"/>
        </w:rPr>
        <w:t>településenként</w:t>
      </w:r>
      <w:r w:rsidRPr="000359DD">
        <w:rPr>
          <w:rFonts w:cs="Times New Roman"/>
          <w:sz w:val="24"/>
          <w:szCs w:val="24"/>
        </w:rPr>
        <w:t xml:space="preserve"> is vizsgálandók annak érdekében, hogy kiderüljön, hol érdemes mégis a munkanélküliség csökkenését elvárni.</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 xml:space="preserve">A feni két attribútum DIPO települési szintű vizsgálata után levonható következtetések alapján </w:t>
      </w:r>
      <w:r w:rsidRPr="000359DD">
        <w:rPr>
          <w:rFonts w:cs="Times New Roman"/>
          <w:b/>
          <w:sz w:val="24"/>
          <w:szCs w:val="24"/>
        </w:rPr>
        <w:t>csökkenthető a munkanélküliség</w:t>
      </w:r>
      <w:r w:rsidRPr="000359DD">
        <w:rPr>
          <w:rFonts w:cs="Times New Roman"/>
          <w:sz w:val="24"/>
          <w:szCs w:val="24"/>
        </w:rPr>
        <w:t>: Bánkon, Borsosberényben, Diósjenőn, Felsőpetényen, Keszegen, Legénden, Nézsán, Nőtincsen, Rétságon, Szendehelyen, Tereskén és Tolmácson.</w:t>
      </w:r>
    </w:p>
    <w:p w:rsidR="00C04323" w:rsidRPr="000359DD" w:rsidRDefault="00C04323" w:rsidP="00135CEC">
      <w:pPr>
        <w:pStyle w:val="Listaszerbekezds"/>
        <w:numPr>
          <w:ilvl w:val="0"/>
          <w:numId w:val="21"/>
        </w:numPr>
        <w:spacing w:line="480" w:lineRule="auto"/>
        <w:jc w:val="both"/>
        <w:rPr>
          <w:rFonts w:cs="Times New Roman"/>
          <w:sz w:val="24"/>
          <w:szCs w:val="24"/>
        </w:rPr>
      </w:pPr>
      <w:r w:rsidRPr="000359DD">
        <w:rPr>
          <w:rFonts w:cs="Times New Roman"/>
          <w:sz w:val="24"/>
          <w:szCs w:val="24"/>
          <w:u w:val="single"/>
        </w:rPr>
        <w:t>Mindkét munkanélküliségi típus redukálható</w:t>
      </w:r>
      <w:r w:rsidRPr="000359DD">
        <w:rPr>
          <w:rFonts w:cs="Times New Roman"/>
          <w:sz w:val="24"/>
          <w:szCs w:val="24"/>
        </w:rPr>
        <w:t xml:space="preserve"> Borsosberényben, Felsőpetényen, Legénden, Nézsán, Nőtincsen, Rétságon és Szendehelyen;</w:t>
      </w:r>
    </w:p>
    <w:p w:rsidR="00C04323" w:rsidRPr="000359DD" w:rsidRDefault="00C04323" w:rsidP="00135CEC">
      <w:pPr>
        <w:pStyle w:val="Listaszerbekezds"/>
        <w:numPr>
          <w:ilvl w:val="0"/>
          <w:numId w:val="21"/>
        </w:numPr>
        <w:spacing w:line="480" w:lineRule="auto"/>
        <w:jc w:val="both"/>
        <w:rPr>
          <w:rFonts w:cs="Times New Roman"/>
          <w:sz w:val="24"/>
          <w:szCs w:val="24"/>
        </w:rPr>
      </w:pPr>
      <w:r w:rsidRPr="000359DD">
        <w:rPr>
          <w:rFonts w:cs="Times New Roman"/>
          <w:sz w:val="24"/>
          <w:szCs w:val="24"/>
        </w:rPr>
        <w:t>tovább növelhető az általános iskolai végzettségű munkanélküliek foglalkoztatottsága Bánkon, Diósjenőn, Keszegen és Tolmácson;</w:t>
      </w:r>
    </w:p>
    <w:p w:rsidR="00C04323" w:rsidRPr="000359DD" w:rsidRDefault="00C04323" w:rsidP="00135CEC">
      <w:pPr>
        <w:pStyle w:val="Listaszerbekezds"/>
        <w:numPr>
          <w:ilvl w:val="0"/>
          <w:numId w:val="21"/>
        </w:numPr>
        <w:spacing w:line="480" w:lineRule="auto"/>
        <w:jc w:val="both"/>
        <w:rPr>
          <w:rFonts w:cs="Times New Roman"/>
          <w:sz w:val="24"/>
          <w:szCs w:val="24"/>
        </w:rPr>
      </w:pPr>
      <w:r w:rsidRPr="000359DD">
        <w:rPr>
          <w:rFonts w:cs="Times New Roman"/>
          <w:sz w:val="24"/>
          <w:szCs w:val="24"/>
        </w:rPr>
        <w:t>valamint Tereskén</w:t>
      </w:r>
      <w:r w:rsidRPr="000359DD">
        <w:rPr>
          <w:rFonts w:cs="Times New Roman"/>
          <w:sz w:val="24"/>
          <w:szCs w:val="24"/>
          <w:u w:val="single"/>
        </w:rPr>
        <w:t xml:space="preserve"> a 8 osztálynál kevesebbet végzett </w:t>
      </w:r>
      <w:r w:rsidRPr="000359DD">
        <w:rPr>
          <w:rFonts w:cs="Times New Roman"/>
          <w:sz w:val="24"/>
          <w:szCs w:val="24"/>
        </w:rPr>
        <w:t>munkanélküliek száma tovább mérsékelhető.</w:t>
      </w:r>
    </w:p>
    <w:p w:rsidR="00C04323" w:rsidRPr="000359DD" w:rsidRDefault="00C04323" w:rsidP="00135CEC">
      <w:pPr>
        <w:pStyle w:val="Cmsor2"/>
        <w:numPr>
          <w:ilvl w:val="0"/>
          <w:numId w:val="0"/>
        </w:numPr>
        <w:spacing w:after="0" w:line="480" w:lineRule="auto"/>
        <w:ind w:left="576" w:hanging="576"/>
        <w:rPr>
          <w:rFonts w:cs="Times New Roman"/>
          <w:sz w:val="24"/>
          <w:szCs w:val="24"/>
        </w:rPr>
      </w:pPr>
      <w:r w:rsidRPr="000359DD">
        <w:rPr>
          <w:rFonts w:cs="Times New Roman"/>
          <w:sz w:val="24"/>
          <w:szCs w:val="24"/>
        </w:rPr>
        <w:t>A gazdasági szervezetek vizsgálata</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Miután kiderült, hogy a munkanélküliség több oldalról is csökkenthető a DIPO területén, a gazdasági szervezetek elemzése is szükséges ahhoz, hogy képet kapjunk arról, hogy a 28/28 HPME várható eredménye milyen mértékben valósítható meg.</w:t>
      </w:r>
    </w:p>
    <w:p w:rsidR="00C04323" w:rsidRPr="000359DD" w:rsidRDefault="00C04323" w:rsidP="00135CEC">
      <w:pPr>
        <w:spacing w:line="480" w:lineRule="auto"/>
        <w:jc w:val="both"/>
        <w:rPr>
          <w:rFonts w:cs="Times New Roman"/>
          <w:sz w:val="24"/>
          <w:szCs w:val="24"/>
        </w:rPr>
      </w:pPr>
      <w:r w:rsidRPr="000359DD">
        <w:rPr>
          <w:rFonts w:cs="Times New Roman"/>
          <w:sz w:val="24"/>
          <w:szCs w:val="24"/>
        </w:rPr>
        <w:lastRenderedPageBreak/>
        <w:t>A gazdasági szervezetek vizsgálata is 8 éves időszakot ölel fel (2000-2007), továbbá ezen attribútumok elemzése előtt is szükségesek ugyan azon „előlépések” megtétele, mint a munkanélküliségre vonatkozó attribútumok esetében (relatív értékek generálása, DIPO értékeinek meghatározása, attribútumok millió f</w:t>
      </w:r>
      <w:r w:rsidR="00084D0C">
        <w:rPr>
          <w:rFonts w:cs="Times New Roman"/>
          <w:sz w:val="24"/>
          <w:szCs w:val="24"/>
        </w:rPr>
        <w:t>őre való levetítése)</w:t>
      </w:r>
      <w:r w:rsidRPr="000359DD">
        <w:rPr>
          <w:rFonts w:cs="Times New Roman"/>
          <w:sz w:val="24"/>
          <w:szCs w:val="24"/>
        </w:rPr>
        <w:t>.</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A gazdasági szervezetek körében az alábbi formákban van lehetőség vállalkozás létesítésére, illetve bővítésére a DIPO területén: 20-49 főt foglalkoztató működő jogi személyiségű vállalkozás, 250 és több főt foglalkoztató működő jogi személyiségű és működő társas vállalkozás, valamint a regisztrált jogi személyiség nélküli gazdasági szervezetek.</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 xml:space="preserve">A felsorolt szervezeti formák a bogyósgyümölcs, illetve energianövény ágazatban </w:t>
      </w:r>
      <w:r w:rsidRPr="000359DD">
        <w:rPr>
          <w:rFonts w:cs="Times New Roman"/>
          <w:sz w:val="24"/>
          <w:szCs w:val="24"/>
          <w:u w:val="single"/>
        </w:rPr>
        <w:t>optimális</w:t>
      </w:r>
      <w:r w:rsidRPr="000359DD">
        <w:rPr>
          <w:rFonts w:cs="Times New Roman"/>
          <w:sz w:val="24"/>
          <w:szCs w:val="24"/>
        </w:rPr>
        <w:t>nak tekinthetők.</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 xml:space="preserve">Az előrejelzések alapján </w:t>
      </w:r>
      <w:r w:rsidRPr="000359DD">
        <w:rPr>
          <w:rFonts w:cs="Times New Roman"/>
          <w:sz w:val="24"/>
          <w:szCs w:val="24"/>
          <w:u w:val="single"/>
        </w:rPr>
        <w:t>nincs lehetőség vállalatbővítésre, illetve létesítésre</w:t>
      </w:r>
      <w:r w:rsidRPr="000359DD">
        <w:rPr>
          <w:rFonts w:cs="Times New Roman"/>
          <w:sz w:val="24"/>
          <w:szCs w:val="24"/>
        </w:rPr>
        <w:t xml:space="preserve"> az A+B nemzetgazdasági ágakban (</w:t>
      </w:r>
      <w:r w:rsidRPr="000359DD">
        <w:rPr>
          <w:rFonts w:cs="Times New Roman"/>
          <w:i/>
          <w:sz w:val="24"/>
          <w:szCs w:val="24"/>
        </w:rPr>
        <w:t>mezőgazdaság</w:t>
      </w:r>
      <w:r w:rsidRPr="000359DD">
        <w:rPr>
          <w:rFonts w:cs="Times New Roman"/>
          <w:sz w:val="24"/>
          <w:szCs w:val="24"/>
        </w:rPr>
        <w:t xml:space="preserve">, vadgazdálkodás, erdőgazdálkodás, halgazdálkodás), a C+D+E nemzetgazdasági ágakban (bányászat, </w:t>
      </w:r>
      <w:r w:rsidRPr="000359DD">
        <w:rPr>
          <w:rFonts w:cs="Times New Roman"/>
          <w:i/>
          <w:sz w:val="24"/>
          <w:szCs w:val="24"/>
        </w:rPr>
        <w:t>feldolgozóipar</w:t>
      </w:r>
      <w:r w:rsidRPr="000359DD">
        <w:rPr>
          <w:rFonts w:cs="Times New Roman"/>
          <w:sz w:val="24"/>
          <w:szCs w:val="24"/>
        </w:rPr>
        <w:t>, villamos energia, gáz-, gőz-, vízellátás), valamint az I (</w:t>
      </w:r>
      <w:r w:rsidRPr="000359DD">
        <w:rPr>
          <w:rFonts w:cs="Times New Roman"/>
          <w:i/>
          <w:sz w:val="24"/>
          <w:szCs w:val="24"/>
        </w:rPr>
        <w:t>szállítás</w:t>
      </w:r>
      <w:r w:rsidRPr="000359DD">
        <w:rPr>
          <w:rFonts w:cs="Times New Roman"/>
          <w:sz w:val="24"/>
          <w:szCs w:val="24"/>
        </w:rPr>
        <w:t xml:space="preserve">, </w:t>
      </w:r>
      <w:r w:rsidRPr="000359DD">
        <w:rPr>
          <w:rFonts w:cs="Times New Roman"/>
          <w:i/>
          <w:sz w:val="24"/>
          <w:szCs w:val="24"/>
        </w:rPr>
        <w:t>raktározás</w:t>
      </w:r>
      <w:r w:rsidRPr="000359DD">
        <w:rPr>
          <w:rFonts w:cs="Times New Roman"/>
          <w:sz w:val="24"/>
          <w:szCs w:val="24"/>
        </w:rPr>
        <w:t xml:space="preserve">, posta, távközlés) nemzetgazdasági ágban sem. E mutatók </w:t>
      </w:r>
      <w:r w:rsidRPr="000359DD">
        <w:rPr>
          <w:rFonts w:cs="Times New Roman"/>
          <w:i/>
          <w:sz w:val="24"/>
          <w:szCs w:val="24"/>
          <w:u w:val="single"/>
        </w:rPr>
        <w:t>településenként</w:t>
      </w:r>
      <w:r w:rsidRPr="000359DD">
        <w:rPr>
          <w:rFonts w:cs="Times New Roman"/>
          <w:sz w:val="24"/>
          <w:szCs w:val="24"/>
        </w:rPr>
        <w:t xml:space="preserve"> is vizsgálandók annak érdekében, hogy kiderüljön, hol érdemes mégis a gazdasági szervezetek létesülését, bővítését elvárni, hiszen e nemzetgazdasági ágak kapcsolódnak legszorosabban a vizsgált problémakörhöz.</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 xml:space="preserve">A feni attribútumok DIPO települési szintű vizsgálata után levonható következtetések alapján </w:t>
      </w:r>
      <w:r w:rsidRPr="000359DD">
        <w:rPr>
          <w:rFonts w:cs="Times New Roman"/>
          <w:b/>
          <w:sz w:val="24"/>
          <w:szCs w:val="24"/>
        </w:rPr>
        <w:t>vállalattelepítésre, illetve bővítésre van lehetőség</w:t>
      </w:r>
      <w:r w:rsidRPr="000359DD">
        <w:rPr>
          <w:rFonts w:cs="Times New Roman"/>
          <w:sz w:val="24"/>
          <w:szCs w:val="24"/>
        </w:rPr>
        <w:t>: Bánkon, Berkenyén, Borsosberényben, Diósjenőn, Felsőpetényen, Keszegen, Legénden, Nógrádon, Nógrádsápon, Nőtincsen, Ősagárdon, Pencen, Szendehelyen, Tereskén és Tolmácson (15 településen a 19-ből). (Az, hogy az akcióterület egészén meghaladják a tény adatok az ideális értékeket betudható Rétság környékbeli domináns szerepének).</w:t>
      </w:r>
    </w:p>
    <w:p w:rsidR="00C04323" w:rsidRPr="000359DD" w:rsidRDefault="00C04323" w:rsidP="00135CEC">
      <w:pPr>
        <w:pStyle w:val="Listaszerbekezds"/>
        <w:numPr>
          <w:ilvl w:val="0"/>
          <w:numId w:val="27"/>
        </w:numPr>
        <w:spacing w:line="480" w:lineRule="auto"/>
        <w:jc w:val="both"/>
        <w:rPr>
          <w:rFonts w:cs="Times New Roman"/>
          <w:sz w:val="24"/>
          <w:szCs w:val="24"/>
        </w:rPr>
      </w:pPr>
      <w:r w:rsidRPr="000359DD">
        <w:rPr>
          <w:rFonts w:cs="Times New Roman"/>
          <w:sz w:val="24"/>
          <w:szCs w:val="24"/>
          <w:u w:val="single"/>
        </w:rPr>
        <w:lastRenderedPageBreak/>
        <w:t>A+B nemzetgazdasági ágakban (</w:t>
      </w:r>
      <w:r w:rsidRPr="000359DD">
        <w:rPr>
          <w:rFonts w:cs="Times New Roman"/>
          <w:i/>
          <w:sz w:val="24"/>
          <w:szCs w:val="24"/>
          <w:u w:val="single"/>
        </w:rPr>
        <w:t>mezőgazdaság</w:t>
      </w:r>
      <w:r w:rsidRPr="000359DD">
        <w:rPr>
          <w:rFonts w:cs="Times New Roman"/>
          <w:sz w:val="24"/>
          <w:szCs w:val="24"/>
          <w:u w:val="single"/>
        </w:rPr>
        <w:t>, vadgazdálkodás, erdőgazdálkodás, halgazdálkodás) az alábbi településeken van mód az elvárások teljesítésére</w:t>
      </w:r>
      <w:r w:rsidRPr="000359DD">
        <w:rPr>
          <w:rFonts w:cs="Times New Roman"/>
          <w:sz w:val="24"/>
          <w:szCs w:val="24"/>
        </w:rPr>
        <w:t>: Bánk, Berkenye, Borsosberény, Diósjenő, Felsőpetény, Legénd, Nógrád, Nógrádsáp, Nőtincs, Ősagárd, Penc, Szendehely, Tereske</w:t>
      </w:r>
    </w:p>
    <w:p w:rsidR="00C04323" w:rsidRPr="000359DD" w:rsidRDefault="00C04323" w:rsidP="00135CEC">
      <w:pPr>
        <w:pStyle w:val="Listaszerbekezds"/>
        <w:numPr>
          <w:ilvl w:val="0"/>
          <w:numId w:val="27"/>
        </w:numPr>
        <w:spacing w:line="480" w:lineRule="auto"/>
        <w:jc w:val="both"/>
        <w:rPr>
          <w:rFonts w:cs="Times New Roman"/>
          <w:sz w:val="24"/>
          <w:szCs w:val="24"/>
        </w:rPr>
      </w:pPr>
      <w:r w:rsidRPr="000359DD">
        <w:rPr>
          <w:rFonts w:cs="Times New Roman"/>
          <w:sz w:val="24"/>
          <w:szCs w:val="24"/>
          <w:u w:val="single"/>
        </w:rPr>
        <w:t xml:space="preserve">C+D+E nemzetgazdasági ágakban (bányászat, </w:t>
      </w:r>
      <w:r w:rsidRPr="000359DD">
        <w:rPr>
          <w:rFonts w:cs="Times New Roman"/>
          <w:i/>
          <w:sz w:val="24"/>
          <w:szCs w:val="24"/>
          <w:u w:val="single"/>
        </w:rPr>
        <w:t>feldolgozóipar</w:t>
      </w:r>
      <w:r w:rsidRPr="000359DD">
        <w:rPr>
          <w:rFonts w:cs="Times New Roman"/>
          <w:sz w:val="24"/>
          <w:szCs w:val="24"/>
          <w:u w:val="single"/>
        </w:rPr>
        <w:t>, villamos energia, gáz-, gőz-, vízellátás) való üzem-telepítésre/bővítésre a következő település-alternatívák állnak rendelkezésre</w:t>
      </w:r>
      <w:r w:rsidRPr="000359DD">
        <w:rPr>
          <w:rFonts w:cs="Times New Roman"/>
          <w:sz w:val="24"/>
          <w:szCs w:val="24"/>
        </w:rPr>
        <w:t>: Bánk, Berkenye, Borsosberény, Diósjenő, Legénd, Nógrád, Nógrádsáp, Nőtincs, Ősagárd, Szendehely, Tereske</w:t>
      </w:r>
    </w:p>
    <w:p w:rsidR="00C04323" w:rsidRPr="000359DD" w:rsidRDefault="00C04323" w:rsidP="00135CEC">
      <w:pPr>
        <w:pStyle w:val="Listaszerbekezds"/>
        <w:numPr>
          <w:ilvl w:val="0"/>
          <w:numId w:val="27"/>
        </w:numPr>
        <w:spacing w:line="480" w:lineRule="auto"/>
        <w:jc w:val="both"/>
        <w:rPr>
          <w:rFonts w:cs="Times New Roman"/>
          <w:sz w:val="24"/>
          <w:szCs w:val="24"/>
        </w:rPr>
      </w:pPr>
      <w:r w:rsidRPr="000359DD">
        <w:rPr>
          <w:rFonts w:cs="Times New Roman"/>
          <w:sz w:val="24"/>
          <w:szCs w:val="24"/>
          <w:u w:val="single"/>
        </w:rPr>
        <w:t>I nemzetgazdasági ágban (</w:t>
      </w:r>
      <w:r w:rsidRPr="000359DD">
        <w:rPr>
          <w:rFonts w:cs="Times New Roman"/>
          <w:i/>
          <w:sz w:val="24"/>
          <w:szCs w:val="24"/>
          <w:u w:val="single"/>
        </w:rPr>
        <w:t>szállítás</w:t>
      </w:r>
      <w:r w:rsidRPr="000359DD">
        <w:rPr>
          <w:rFonts w:cs="Times New Roman"/>
          <w:sz w:val="24"/>
          <w:szCs w:val="24"/>
          <w:u w:val="single"/>
        </w:rPr>
        <w:t xml:space="preserve">, </w:t>
      </w:r>
      <w:r w:rsidRPr="000359DD">
        <w:rPr>
          <w:rFonts w:cs="Times New Roman"/>
          <w:i/>
          <w:sz w:val="24"/>
          <w:szCs w:val="24"/>
          <w:u w:val="single"/>
        </w:rPr>
        <w:t>raktározás</w:t>
      </w:r>
      <w:r w:rsidRPr="000359DD">
        <w:rPr>
          <w:rFonts w:cs="Times New Roman"/>
          <w:sz w:val="24"/>
          <w:szCs w:val="24"/>
          <w:u w:val="single"/>
        </w:rPr>
        <w:t>, posta, távközlés) történő vállalattelepítésre/bővülésre van lehetőség</w:t>
      </w:r>
      <w:r w:rsidRPr="000359DD">
        <w:rPr>
          <w:rFonts w:cs="Times New Roman"/>
          <w:sz w:val="24"/>
          <w:szCs w:val="24"/>
        </w:rPr>
        <w:t>: Diósjenőn, Keszegen, Nézsán, Nógrádsápon, Rétságon, Szendehelyen, Tereskén, Tolmácson.</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Egyéni vállalkozás által üzemeltetett zöldség-, gyümölcsszaküzlet 2000-ben a következő településeken volt megtalálható: Borsosberény, Diósjenő, Kosd és Rétság. Ez a lista 2001-ben bővült Szendehellyel, majd 2006-ban Nógrádsáppal, végül 2007-ben Nógráddal.</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Egyéni vállalkozás által üzemeltetett nagykereskedelmi raktár 2002-ben Rétságon, Kosdon (2002-2007 végig) és 2003-ban Diósjenőn volt megtalálható.</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Egyéni vállalkozás által üzemeltetett hulladékok- és melléktermékek nagykereskedelmi raktár egyedül Diósjenőn volt 2003-ban.</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Egyéni vállalkozás által üzemeltetett élelmiszer, ital és dohányáru nagykereskedelmi raktár Berkenyén és Rétságon volt 2002-ben, valamint Kosdon 2007-ben.</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Egyéni vállalkozás által üzemeltetett egyéb, nem kiemelt élelmiszert forgalmazó szaküzlet Felsőpetényben és Keszegen volt fellelhető 2003-ban.</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Az imént felsorolt attribútumok nem kerültek elemzésre, magyarázván azok alacsony előfordulási számukkal → nincs lehetőség trend megállapítására.</w:t>
      </w:r>
    </w:p>
    <w:p w:rsidR="00C04323" w:rsidRPr="000359DD" w:rsidRDefault="00C04323" w:rsidP="00135CEC">
      <w:pPr>
        <w:spacing w:line="480" w:lineRule="auto"/>
        <w:jc w:val="both"/>
        <w:rPr>
          <w:rFonts w:cs="Times New Roman"/>
          <w:sz w:val="24"/>
          <w:szCs w:val="24"/>
        </w:rPr>
      </w:pPr>
      <w:r w:rsidRPr="000359DD">
        <w:rPr>
          <w:rFonts w:cs="Times New Roman"/>
          <w:sz w:val="24"/>
          <w:szCs w:val="24"/>
        </w:rPr>
        <w:lastRenderedPageBreak/>
        <w:t xml:space="preserve">Ezzel ellentétben </w:t>
      </w:r>
      <w:r w:rsidRPr="000359DD">
        <w:rPr>
          <w:rFonts w:cs="Times New Roman"/>
          <w:sz w:val="24"/>
          <w:szCs w:val="24"/>
          <w:u w:val="single"/>
        </w:rPr>
        <w:t>az egyéni vállalkozás által üzemeltetett kiskereskedelmi hálózati egységek száma növelhető a DIPO területén</w:t>
      </w:r>
      <w:r w:rsidRPr="000359DD">
        <w:rPr>
          <w:rFonts w:cs="Times New Roman"/>
          <w:sz w:val="24"/>
          <w:szCs w:val="24"/>
        </w:rPr>
        <w:t>.</w:t>
      </w:r>
    </w:p>
    <w:p w:rsidR="00C04323" w:rsidRPr="000359DD" w:rsidRDefault="009B5880" w:rsidP="00084D0C">
      <w:pPr>
        <w:pStyle w:val="Cmsor1"/>
        <w:numPr>
          <w:ilvl w:val="0"/>
          <w:numId w:val="0"/>
        </w:numPr>
        <w:spacing w:after="0" w:line="480" w:lineRule="auto"/>
        <w:ind w:left="432" w:hanging="432"/>
        <w:jc w:val="center"/>
        <w:rPr>
          <w:sz w:val="24"/>
          <w:szCs w:val="24"/>
        </w:rPr>
      </w:pPr>
      <w:r>
        <w:rPr>
          <w:sz w:val="24"/>
          <w:szCs w:val="24"/>
        </w:rPr>
        <w:t>KÖVETKEZTETÉSEK</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 xml:space="preserve">A munkanélküliség és a gazdasági szervezetek (beleértve egyéni vállalkozások) elemzéseiből együttesen levonható konzekvenciák alapján a HVS által a 28/28 HPME elvárások a várható eredménnyel kapcsolatban - bár nem az összes, DIPO akcióterület által lefedett településen – </w:t>
      </w:r>
      <w:r w:rsidRPr="000359DD">
        <w:rPr>
          <w:rFonts w:cs="Times New Roman"/>
          <w:b/>
          <w:sz w:val="24"/>
          <w:szCs w:val="24"/>
        </w:rPr>
        <w:t>reálisak</w:t>
      </w:r>
      <w:r w:rsidRPr="000359DD">
        <w:rPr>
          <w:rFonts w:cs="Times New Roman"/>
          <w:sz w:val="24"/>
          <w:szCs w:val="24"/>
        </w:rPr>
        <w:t>.</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 xml:space="preserve">A </w:t>
      </w:r>
      <w:r w:rsidRPr="000359DD">
        <w:rPr>
          <w:rFonts w:cs="Times New Roman"/>
          <w:b/>
          <w:sz w:val="24"/>
          <w:szCs w:val="24"/>
        </w:rPr>
        <w:t>foglalkoztatottság</w:t>
      </w:r>
      <w:r w:rsidRPr="000359DD">
        <w:rPr>
          <w:rFonts w:cs="Times New Roman"/>
          <w:sz w:val="24"/>
          <w:szCs w:val="24"/>
        </w:rPr>
        <w:t xml:space="preserve"> a gyümölcságazatban, illetve az energia növények termelésében és feldolgozásában növelhető a 16 éven aluli, valamint a 26-35 év közötti női és férfi munkanélküliek körében is. Ezen kívül csökkenthető az akcióterületen a fizikai foglalkozású, továbbá a szakiskolai végzettségű munkanélküliek száma.</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A megvalósíthatóságot még inkább ideális irányba tereli az az eredmény, miszerint van mód az általános iskolát, valamint a 8 osztálynál kevesebbet végzett munkanélküliség redukálására Borsosberényben, Felsőpetényen, Legénden, Nézsán, Nőtincsen, Rétságon és Szendehelyen. Emellett tovább növelhető az általános iskolai végzettségű munkanélküliek foglalkoztatottsága Bánkon, Diósjenőn, Keszegen és Tolmácson, illetve a 8 osztálynál kevesebbet végzett munkanélküliek száma tovább mérsékelhető Tereskén</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 xml:space="preserve">A </w:t>
      </w:r>
      <w:r w:rsidRPr="000359DD">
        <w:rPr>
          <w:rFonts w:cs="Times New Roman"/>
          <w:b/>
          <w:sz w:val="24"/>
          <w:szCs w:val="24"/>
        </w:rPr>
        <w:t>gazdasági szervezetek</w:t>
      </w:r>
      <w:r w:rsidRPr="000359DD">
        <w:rPr>
          <w:rFonts w:cs="Times New Roman"/>
          <w:sz w:val="24"/>
          <w:szCs w:val="24"/>
        </w:rPr>
        <w:t xml:space="preserve"> körében üzemméret szerint a 20-49 főt foglalkoztató működő jogi személyiségű vállalkozás, 250 és több főt foglalkoztató működő jogi személyiségű és működő társas vállalkozás esetén van lehetőség bővítésre, telepítésre, így e szempontból is realisztikusnak tekinthetők a 28/28 HPME elvárások.</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A mezőgazdasági, feldolgozóipari, szállítási és raktározási tevékenységek végzésére (illetve fellendülésére) a következő településeken van kilátás:</w:t>
      </w:r>
    </w:p>
    <w:p w:rsidR="00C04323" w:rsidRPr="000359DD" w:rsidRDefault="00C04323" w:rsidP="00135CEC">
      <w:pPr>
        <w:pStyle w:val="Listaszerbekezds"/>
        <w:numPr>
          <w:ilvl w:val="0"/>
          <w:numId w:val="27"/>
        </w:numPr>
        <w:spacing w:line="480" w:lineRule="auto"/>
        <w:jc w:val="both"/>
        <w:rPr>
          <w:rFonts w:cs="Times New Roman"/>
          <w:sz w:val="24"/>
          <w:szCs w:val="24"/>
        </w:rPr>
      </w:pPr>
      <w:r w:rsidRPr="000359DD">
        <w:rPr>
          <w:rFonts w:cs="Times New Roman"/>
          <w:sz w:val="24"/>
          <w:szCs w:val="24"/>
          <w:u w:val="single"/>
        </w:rPr>
        <w:lastRenderedPageBreak/>
        <w:t>A+B nemzetgazdasági ágakban (</w:t>
      </w:r>
      <w:r w:rsidRPr="000359DD">
        <w:rPr>
          <w:rFonts w:cs="Times New Roman"/>
          <w:i/>
          <w:sz w:val="24"/>
          <w:szCs w:val="24"/>
          <w:u w:val="single"/>
        </w:rPr>
        <w:t>mezőgazdaság</w:t>
      </w:r>
      <w:r w:rsidRPr="000359DD">
        <w:rPr>
          <w:rFonts w:cs="Times New Roman"/>
          <w:sz w:val="24"/>
          <w:szCs w:val="24"/>
          <w:u w:val="single"/>
        </w:rPr>
        <w:t>, vadgazdálkodás, erdőgazdálkodás, halgazdálkodás)</w:t>
      </w:r>
      <w:r w:rsidRPr="000359DD">
        <w:rPr>
          <w:rFonts w:cs="Times New Roman"/>
          <w:sz w:val="24"/>
          <w:szCs w:val="24"/>
        </w:rPr>
        <w:t>: Bánk, Berkenye, Borsosberény, Diósjenő, Felsőpetény, Legénd, Nógrád, Nógrádsáp, Nőtincs, Ősagárd, Penc, Szendehely, Tereske</w:t>
      </w:r>
    </w:p>
    <w:p w:rsidR="00C04323" w:rsidRPr="000359DD" w:rsidRDefault="00C04323" w:rsidP="00135CEC">
      <w:pPr>
        <w:pStyle w:val="Listaszerbekezds"/>
        <w:numPr>
          <w:ilvl w:val="0"/>
          <w:numId w:val="27"/>
        </w:numPr>
        <w:spacing w:line="480" w:lineRule="auto"/>
        <w:jc w:val="both"/>
        <w:rPr>
          <w:rFonts w:cs="Times New Roman"/>
          <w:sz w:val="24"/>
          <w:szCs w:val="24"/>
        </w:rPr>
      </w:pPr>
      <w:r w:rsidRPr="000359DD">
        <w:rPr>
          <w:rFonts w:cs="Times New Roman"/>
          <w:sz w:val="24"/>
          <w:szCs w:val="24"/>
          <w:u w:val="single"/>
        </w:rPr>
        <w:t xml:space="preserve">C+D+E nemzetgazdasági ágakban (bányászat, </w:t>
      </w:r>
      <w:r w:rsidRPr="000359DD">
        <w:rPr>
          <w:rFonts w:cs="Times New Roman"/>
          <w:i/>
          <w:sz w:val="24"/>
          <w:szCs w:val="24"/>
          <w:u w:val="single"/>
        </w:rPr>
        <w:t>feldolgozóipar</w:t>
      </w:r>
      <w:r w:rsidRPr="000359DD">
        <w:rPr>
          <w:rFonts w:cs="Times New Roman"/>
          <w:sz w:val="24"/>
          <w:szCs w:val="24"/>
          <w:u w:val="single"/>
        </w:rPr>
        <w:t>, villamos energia, gáz-, gőz-, vízellátás)</w:t>
      </w:r>
      <w:r w:rsidRPr="000359DD">
        <w:rPr>
          <w:rFonts w:cs="Times New Roman"/>
          <w:sz w:val="24"/>
          <w:szCs w:val="24"/>
        </w:rPr>
        <w:t>: Bánk, Berkenye, Borsosberény, Diósjenő, Legénd, Nógrád, Nógrádsáp, Nőtincs, Ősagárd, Szendehely, Tereske</w:t>
      </w:r>
    </w:p>
    <w:p w:rsidR="00C04323" w:rsidRPr="000359DD" w:rsidRDefault="00C04323" w:rsidP="00135CEC">
      <w:pPr>
        <w:pStyle w:val="Listaszerbekezds"/>
        <w:numPr>
          <w:ilvl w:val="0"/>
          <w:numId w:val="27"/>
        </w:numPr>
        <w:spacing w:line="480" w:lineRule="auto"/>
        <w:jc w:val="both"/>
        <w:rPr>
          <w:rFonts w:cs="Times New Roman"/>
          <w:sz w:val="24"/>
          <w:szCs w:val="24"/>
        </w:rPr>
      </w:pPr>
      <w:r w:rsidRPr="000359DD">
        <w:rPr>
          <w:rFonts w:cs="Times New Roman"/>
          <w:sz w:val="24"/>
          <w:szCs w:val="24"/>
          <w:u w:val="single"/>
        </w:rPr>
        <w:t>I nemzetgazdasági ág (</w:t>
      </w:r>
      <w:r w:rsidRPr="000359DD">
        <w:rPr>
          <w:rFonts w:cs="Times New Roman"/>
          <w:i/>
          <w:sz w:val="24"/>
          <w:szCs w:val="24"/>
          <w:u w:val="single"/>
        </w:rPr>
        <w:t>szállítás</w:t>
      </w:r>
      <w:r w:rsidRPr="000359DD">
        <w:rPr>
          <w:rFonts w:cs="Times New Roman"/>
          <w:sz w:val="24"/>
          <w:szCs w:val="24"/>
          <w:u w:val="single"/>
        </w:rPr>
        <w:t xml:space="preserve">, </w:t>
      </w:r>
      <w:r w:rsidRPr="000359DD">
        <w:rPr>
          <w:rFonts w:cs="Times New Roman"/>
          <w:i/>
          <w:sz w:val="24"/>
          <w:szCs w:val="24"/>
          <w:u w:val="single"/>
        </w:rPr>
        <w:t>raktározás</w:t>
      </w:r>
      <w:r w:rsidRPr="000359DD">
        <w:rPr>
          <w:rFonts w:cs="Times New Roman"/>
          <w:sz w:val="24"/>
          <w:szCs w:val="24"/>
          <w:u w:val="single"/>
        </w:rPr>
        <w:t>, posta, távközlés)</w:t>
      </w:r>
      <w:r w:rsidRPr="000359DD">
        <w:rPr>
          <w:rFonts w:cs="Times New Roman"/>
          <w:sz w:val="24"/>
          <w:szCs w:val="24"/>
        </w:rPr>
        <w:t>: Diósjenő, Keszeg, Nézsa, Nógrádsáp, Rétság, Szendehely, Tereske, Tolmács.</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A legéletrevalóbb megvalósítás talán az lenne (azaz a rendelkezésre álló forrás a leginkább ideális formában lehetne elkölthető), ha olyan településeken lennének a megvalósítandó projektek centrumai (környező települések felölelése), ahol az imént tárgyalt nemzetgazdasági ágak mindegyike fellelhető, nevezetesen Diósjenőn, Szendehelyen és Tereskén. Diósjenőn az általános iskolai végzettségű emberek, Tereskén a 8 osztálynál kevesebbet végzett személyek foglalkoztatása növelhető, Szendehelyen pedig még jobban csökkenthető mindkét végzettségi kategóriába tartozó munkanélküliek száma is.</w:t>
      </w:r>
    </w:p>
    <w:p w:rsidR="00C04323" w:rsidRPr="000359DD" w:rsidRDefault="00C04323" w:rsidP="00135CEC">
      <w:pPr>
        <w:spacing w:line="480" w:lineRule="auto"/>
        <w:jc w:val="both"/>
        <w:rPr>
          <w:rFonts w:cs="Times New Roman"/>
          <w:sz w:val="24"/>
          <w:szCs w:val="24"/>
        </w:rPr>
      </w:pPr>
      <w:r w:rsidRPr="000359DD">
        <w:rPr>
          <w:rFonts w:cs="Times New Roman"/>
          <w:sz w:val="24"/>
          <w:szCs w:val="24"/>
        </w:rPr>
        <w:t>A Helyi Vidékfejlesztési Stratégia által megfogalmazott HPME 28/28 pontjára készült elemzési módszer alapja lehet minden hasonló célt szolgáló területfejlesztési döntéshozatali eljárásnak.</w:t>
      </w:r>
    </w:p>
    <w:p w:rsidR="00510717" w:rsidRDefault="00C04323" w:rsidP="00135CEC">
      <w:pPr>
        <w:spacing w:line="480" w:lineRule="auto"/>
        <w:jc w:val="both"/>
        <w:rPr>
          <w:rFonts w:cs="Times New Roman"/>
          <w:sz w:val="24"/>
          <w:szCs w:val="24"/>
        </w:rPr>
      </w:pPr>
      <w:r w:rsidRPr="000359DD">
        <w:rPr>
          <w:rFonts w:cs="Times New Roman"/>
          <w:sz w:val="24"/>
          <w:szCs w:val="24"/>
        </w:rPr>
        <w:t>További célkitűzés a DIPO OLAP bővítése, hibáinak kiküszöbölése, valamint egy olyan szakértői rendszer kialakítása, amely képes a bekért inputok alapján segíteni a felhasználót a területfejlesztéssel kapcsolatos operatív- és stratégiai döntéshozatalában.</w:t>
      </w:r>
    </w:p>
    <w:p w:rsidR="00510717" w:rsidRDefault="00510717">
      <w:pPr>
        <w:spacing w:after="200" w:line="276" w:lineRule="auto"/>
        <w:rPr>
          <w:rFonts w:cs="Times New Roman"/>
          <w:sz w:val="24"/>
          <w:szCs w:val="24"/>
        </w:rPr>
      </w:pPr>
      <w:r>
        <w:rPr>
          <w:rFonts w:cs="Times New Roman"/>
          <w:sz w:val="24"/>
          <w:szCs w:val="24"/>
        </w:rPr>
        <w:br w:type="page"/>
      </w:r>
    </w:p>
    <w:p w:rsidR="00C04323" w:rsidRPr="009B5880" w:rsidRDefault="007668E1" w:rsidP="009B5880">
      <w:pPr>
        <w:pStyle w:val="Cmsor1"/>
        <w:numPr>
          <w:ilvl w:val="0"/>
          <w:numId w:val="0"/>
        </w:numPr>
        <w:spacing w:after="0" w:line="480" w:lineRule="auto"/>
        <w:ind w:left="432" w:hanging="432"/>
        <w:jc w:val="center"/>
        <w:rPr>
          <w:sz w:val="30"/>
          <w:szCs w:val="30"/>
        </w:rPr>
      </w:pPr>
      <w:r w:rsidRPr="009B5880">
        <w:rPr>
          <w:sz w:val="30"/>
          <w:szCs w:val="30"/>
        </w:rPr>
        <w:lastRenderedPageBreak/>
        <w:t>IRODALOM</w:t>
      </w:r>
    </w:p>
    <w:p w:rsidR="00510717" w:rsidRPr="009B5880" w:rsidRDefault="00510717" w:rsidP="00B4592E">
      <w:pPr>
        <w:spacing w:line="480" w:lineRule="auto"/>
        <w:rPr>
          <w:rFonts w:cs="Times New Roman"/>
          <w:sz w:val="24"/>
          <w:szCs w:val="24"/>
        </w:rPr>
      </w:pPr>
      <w:r>
        <w:rPr>
          <w:rFonts w:cs="Times New Roman"/>
          <w:sz w:val="24"/>
          <w:szCs w:val="24"/>
        </w:rPr>
        <w:t xml:space="preserve">Goldperger I., </w:t>
      </w:r>
      <w:r w:rsidRPr="009B5880">
        <w:rPr>
          <w:rFonts w:cs="Times New Roman"/>
          <w:sz w:val="24"/>
          <w:szCs w:val="24"/>
        </w:rPr>
        <w:t>Inzelt</w:t>
      </w:r>
      <w:r>
        <w:rPr>
          <w:rFonts w:cs="Times New Roman"/>
          <w:sz w:val="24"/>
          <w:szCs w:val="24"/>
        </w:rPr>
        <w:t xml:space="preserve"> </w:t>
      </w:r>
      <w:r w:rsidRPr="009B5880">
        <w:rPr>
          <w:rFonts w:cs="Times New Roman"/>
          <w:sz w:val="24"/>
          <w:szCs w:val="24"/>
        </w:rPr>
        <w:t>A.</w:t>
      </w:r>
      <w:r>
        <w:rPr>
          <w:rFonts w:cs="Times New Roman"/>
          <w:sz w:val="24"/>
          <w:szCs w:val="24"/>
        </w:rPr>
        <w:t>, Szunyogh Zs.</w:t>
      </w:r>
      <w:r w:rsidRPr="009B5880">
        <w:rPr>
          <w:rFonts w:cs="Times New Roman"/>
          <w:sz w:val="24"/>
          <w:szCs w:val="24"/>
        </w:rPr>
        <w:t xml:space="preserve"> (2006): Döntések: Milyen alapokon? A tudomány, technológia</w:t>
      </w:r>
      <w:r>
        <w:rPr>
          <w:rFonts w:cs="Times New Roman"/>
          <w:sz w:val="24"/>
          <w:szCs w:val="24"/>
        </w:rPr>
        <w:t xml:space="preserve"> </w:t>
      </w:r>
      <w:r w:rsidRPr="009B5880">
        <w:rPr>
          <w:rFonts w:cs="Times New Roman"/>
          <w:sz w:val="24"/>
          <w:szCs w:val="24"/>
        </w:rPr>
        <w:t>és</w:t>
      </w:r>
      <w:r>
        <w:rPr>
          <w:rFonts w:cs="Times New Roman"/>
          <w:sz w:val="24"/>
          <w:szCs w:val="24"/>
        </w:rPr>
        <w:t xml:space="preserve"> </w:t>
      </w:r>
      <w:r w:rsidRPr="009B5880">
        <w:rPr>
          <w:rFonts w:cs="Times New Roman"/>
          <w:sz w:val="24"/>
          <w:szCs w:val="24"/>
        </w:rPr>
        <w:t>innováció</w:t>
      </w:r>
      <w:r>
        <w:rPr>
          <w:rFonts w:cs="Times New Roman"/>
          <w:sz w:val="24"/>
          <w:szCs w:val="24"/>
        </w:rPr>
        <w:t xml:space="preserve"> </w:t>
      </w:r>
      <w:r w:rsidRPr="009B5880">
        <w:rPr>
          <w:rFonts w:cs="Times New Roman"/>
          <w:sz w:val="24"/>
          <w:szCs w:val="24"/>
        </w:rPr>
        <w:t>politikavinformációs</w:t>
      </w:r>
      <w:r>
        <w:rPr>
          <w:rFonts w:cs="Times New Roman"/>
          <w:sz w:val="24"/>
          <w:szCs w:val="24"/>
        </w:rPr>
        <w:t xml:space="preserve"> </w:t>
      </w:r>
      <w:r w:rsidRPr="009B5880">
        <w:rPr>
          <w:rFonts w:cs="Times New Roman"/>
          <w:sz w:val="24"/>
          <w:szCs w:val="24"/>
        </w:rPr>
        <w:t>bázisa,</w:t>
      </w:r>
      <w:r w:rsidRPr="009B5880">
        <w:rPr>
          <w:rFonts w:cs="Times New Roman"/>
          <w:sz w:val="24"/>
          <w:szCs w:val="24"/>
        </w:rPr>
        <w:br/>
        <w:t>Tudomány- és Technológiapolitikai, Versenyképességi Tanácsadó Testület, Budapest</w:t>
      </w:r>
    </w:p>
    <w:p w:rsidR="00510717" w:rsidRDefault="00510717" w:rsidP="00510717">
      <w:pPr>
        <w:spacing w:line="480" w:lineRule="auto"/>
        <w:rPr>
          <w:rFonts w:cs="Times New Roman"/>
          <w:sz w:val="24"/>
          <w:szCs w:val="24"/>
        </w:rPr>
      </w:pPr>
      <w:r>
        <w:rPr>
          <w:rFonts w:cs="Times New Roman"/>
          <w:sz w:val="24"/>
          <w:szCs w:val="24"/>
        </w:rPr>
        <w:t>Horváth H. (2009): A Duna-Ipoly Határmenti Együttműködés – akcióterület átfogó helyzetelemzése hasonlóságelemzéssel, a változások nyomon követése, a monitoring tevékenység bázisértékeinek meghatározása céljából</w:t>
      </w:r>
    </w:p>
    <w:p w:rsidR="00510717" w:rsidRPr="009B5880" w:rsidRDefault="00510717" w:rsidP="00B4592E">
      <w:pPr>
        <w:spacing w:line="480" w:lineRule="auto"/>
        <w:rPr>
          <w:rFonts w:cs="Times New Roman"/>
          <w:sz w:val="24"/>
          <w:szCs w:val="24"/>
        </w:rPr>
      </w:pPr>
      <w:r>
        <w:rPr>
          <w:rFonts w:cs="Times New Roman"/>
          <w:sz w:val="24"/>
          <w:szCs w:val="24"/>
        </w:rPr>
        <w:t xml:space="preserve">Horváth H., Palatinus M., Sápi A., Varga V. </w:t>
      </w:r>
      <w:r w:rsidRPr="009B5880">
        <w:rPr>
          <w:rFonts w:cs="Times New Roman"/>
          <w:sz w:val="24"/>
          <w:szCs w:val="24"/>
        </w:rPr>
        <w:t>(2008):</w:t>
      </w:r>
      <w:r>
        <w:rPr>
          <w:rFonts w:cs="Times New Roman"/>
          <w:sz w:val="24"/>
          <w:szCs w:val="24"/>
        </w:rPr>
        <w:t xml:space="preserve"> </w:t>
      </w:r>
      <w:r w:rsidRPr="009B5880">
        <w:rPr>
          <w:rFonts w:cs="Times New Roman"/>
          <w:sz w:val="24"/>
          <w:szCs w:val="24"/>
        </w:rPr>
        <w:t>Mezőgazdaság</w:t>
      </w:r>
      <w:r>
        <w:rPr>
          <w:rFonts w:cs="Times New Roman"/>
          <w:sz w:val="24"/>
          <w:szCs w:val="24"/>
        </w:rPr>
        <w:t xml:space="preserve"> </w:t>
      </w:r>
      <w:r w:rsidRPr="009B5880">
        <w:rPr>
          <w:rFonts w:cs="Times New Roman"/>
          <w:sz w:val="24"/>
          <w:szCs w:val="24"/>
        </w:rPr>
        <w:t>operatív- és stratégiai döntéseinek</w:t>
      </w:r>
      <w:r>
        <w:rPr>
          <w:rFonts w:cs="Times New Roman"/>
          <w:sz w:val="24"/>
          <w:szCs w:val="24"/>
        </w:rPr>
        <w:t xml:space="preserve"> </w:t>
      </w:r>
      <w:r w:rsidRPr="009B5880">
        <w:rPr>
          <w:rFonts w:cs="Times New Roman"/>
          <w:sz w:val="24"/>
          <w:szCs w:val="24"/>
        </w:rPr>
        <w:t>támogatása</w:t>
      </w:r>
      <w:r>
        <w:rPr>
          <w:rFonts w:cs="Times New Roman"/>
          <w:sz w:val="24"/>
          <w:szCs w:val="24"/>
        </w:rPr>
        <w:t xml:space="preserve"> </w:t>
      </w:r>
      <w:r w:rsidRPr="009B5880">
        <w:rPr>
          <w:rFonts w:cs="Times New Roman"/>
          <w:sz w:val="24"/>
          <w:szCs w:val="24"/>
        </w:rPr>
        <w:t>hasonlóságelemzéssel, TDK</w:t>
      </w:r>
      <w:r>
        <w:rPr>
          <w:rFonts w:cs="Times New Roman"/>
          <w:sz w:val="24"/>
          <w:szCs w:val="24"/>
        </w:rPr>
        <w:t xml:space="preserve"> </w:t>
      </w:r>
      <w:r w:rsidRPr="009B5880">
        <w:rPr>
          <w:rFonts w:cs="Times New Roman"/>
          <w:sz w:val="24"/>
          <w:szCs w:val="24"/>
        </w:rPr>
        <w:t>dolgozat</w:t>
      </w:r>
    </w:p>
    <w:p w:rsidR="00510717" w:rsidRPr="009B5880" w:rsidRDefault="00510717" w:rsidP="00B4592E">
      <w:pPr>
        <w:spacing w:line="480" w:lineRule="auto"/>
        <w:rPr>
          <w:rFonts w:cs="Times New Roman"/>
          <w:sz w:val="24"/>
          <w:szCs w:val="24"/>
        </w:rPr>
      </w:pPr>
      <w:hyperlink r:id="rId16" w:history="1">
        <w:r w:rsidRPr="009B5880">
          <w:rPr>
            <w:rStyle w:val="Hiperhivatkozs"/>
            <w:rFonts w:cs="Times New Roman"/>
            <w:color w:val="auto"/>
            <w:sz w:val="24"/>
            <w:szCs w:val="24"/>
            <w:u w:val="none"/>
          </w:rPr>
          <w:t>http://terkepcentrum.hu/</w:t>
        </w:r>
      </w:hyperlink>
    </w:p>
    <w:p w:rsidR="00510717" w:rsidRPr="009B5880" w:rsidRDefault="00510717" w:rsidP="00B4592E">
      <w:pPr>
        <w:spacing w:line="480" w:lineRule="auto"/>
        <w:rPr>
          <w:rFonts w:eastAsia="Calibri" w:cs="Times New Roman"/>
          <w:sz w:val="24"/>
          <w:szCs w:val="24"/>
        </w:rPr>
      </w:pPr>
      <w:r w:rsidRPr="009B5880">
        <w:rPr>
          <w:rFonts w:eastAsia="Calibri" w:cs="Times New Roman"/>
          <w:sz w:val="24"/>
          <w:szCs w:val="24"/>
        </w:rPr>
        <w:t>http://www.wikipedia.org</w:t>
      </w:r>
    </w:p>
    <w:p w:rsidR="00510717" w:rsidRPr="009B5880" w:rsidRDefault="00510717" w:rsidP="00B4592E">
      <w:pPr>
        <w:spacing w:line="480" w:lineRule="auto"/>
        <w:rPr>
          <w:rFonts w:cs="Times New Roman"/>
          <w:sz w:val="24"/>
          <w:szCs w:val="24"/>
        </w:rPr>
      </w:pPr>
      <w:r w:rsidRPr="009B5880">
        <w:rPr>
          <w:rFonts w:cs="Times New Roman"/>
          <w:sz w:val="24"/>
          <w:szCs w:val="24"/>
        </w:rPr>
        <w:t>Inzelt</w:t>
      </w:r>
      <w:r>
        <w:rPr>
          <w:rFonts w:cs="Times New Roman"/>
          <w:sz w:val="24"/>
          <w:szCs w:val="24"/>
        </w:rPr>
        <w:t xml:space="preserve"> </w:t>
      </w:r>
      <w:r w:rsidRPr="009B5880">
        <w:rPr>
          <w:rFonts w:cs="Times New Roman"/>
          <w:sz w:val="24"/>
          <w:szCs w:val="24"/>
        </w:rPr>
        <w:t>A.</w:t>
      </w:r>
      <w:r>
        <w:rPr>
          <w:rFonts w:cs="Times New Roman"/>
          <w:sz w:val="24"/>
          <w:szCs w:val="24"/>
        </w:rPr>
        <w:t xml:space="preserve"> </w:t>
      </w:r>
      <w:r w:rsidRPr="009B5880">
        <w:rPr>
          <w:rFonts w:cs="Times New Roman"/>
          <w:sz w:val="24"/>
          <w:szCs w:val="24"/>
        </w:rPr>
        <w:t>(2008):</w:t>
      </w:r>
      <w:r>
        <w:rPr>
          <w:rFonts w:cs="Times New Roman"/>
          <w:sz w:val="24"/>
          <w:szCs w:val="24"/>
        </w:rPr>
        <w:t xml:space="preserve"> </w:t>
      </w:r>
      <w:r w:rsidRPr="009B5880">
        <w:rPr>
          <w:rFonts w:cs="Times New Roman"/>
          <w:sz w:val="24"/>
          <w:szCs w:val="24"/>
        </w:rPr>
        <w:t>A</w:t>
      </w:r>
      <w:r>
        <w:rPr>
          <w:rFonts w:cs="Times New Roman"/>
          <w:sz w:val="24"/>
          <w:szCs w:val="24"/>
        </w:rPr>
        <w:t xml:space="preserve"> </w:t>
      </w:r>
      <w:r w:rsidRPr="009B5880">
        <w:rPr>
          <w:rFonts w:cs="Times New Roman"/>
          <w:sz w:val="24"/>
          <w:szCs w:val="24"/>
        </w:rPr>
        <w:t>kutatás</w:t>
      </w:r>
      <w:r w:rsidRPr="009B5880">
        <w:rPr>
          <w:rFonts w:cs="Times New Roman"/>
          <w:sz w:val="24"/>
          <w:szCs w:val="24"/>
        </w:rPr>
        <w:noBreakHyphen/>
        <w:t>fejlesztés</w:t>
      </w:r>
      <w:r>
        <w:rPr>
          <w:rFonts w:cs="Times New Roman"/>
          <w:sz w:val="24"/>
          <w:szCs w:val="24"/>
        </w:rPr>
        <w:t xml:space="preserve"> </w:t>
      </w:r>
      <w:r w:rsidRPr="009B5880">
        <w:rPr>
          <w:rFonts w:cs="Times New Roman"/>
          <w:sz w:val="24"/>
          <w:szCs w:val="24"/>
        </w:rPr>
        <w:t>és</w:t>
      </w:r>
      <w:r>
        <w:rPr>
          <w:rFonts w:cs="Times New Roman"/>
          <w:sz w:val="24"/>
          <w:szCs w:val="24"/>
        </w:rPr>
        <w:t xml:space="preserve"> </w:t>
      </w:r>
      <w:r w:rsidRPr="009B5880">
        <w:rPr>
          <w:rFonts w:cs="Times New Roman"/>
          <w:sz w:val="24"/>
          <w:szCs w:val="24"/>
        </w:rPr>
        <w:t>az</w:t>
      </w:r>
      <w:r>
        <w:rPr>
          <w:rFonts w:cs="Times New Roman"/>
          <w:sz w:val="24"/>
          <w:szCs w:val="24"/>
        </w:rPr>
        <w:t xml:space="preserve"> </w:t>
      </w:r>
      <w:r w:rsidRPr="009B5880">
        <w:rPr>
          <w:rFonts w:cs="Times New Roman"/>
          <w:sz w:val="24"/>
          <w:szCs w:val="24"/>
        </w:rPr>
        <w:t>innováció</w:t>
      </w:r>
      <w:r>
        <w:rPr>
          <w:rFonts w:cs="Times New Roman"/>
          <w:sz w:val="24"/>
          <w:szCs w:val="24"/>
        </w:rPr>
        <w:t xml:space="preserve"> </w:t>
      </w:r>
      <w:r w:rsidRPr="009B5880">
        <w:rPr>
          <w:rFonts w:cs="Times New Roman"/>
          <w:sz w:val="24"/>
          <w:szCs w:val="24"/>
        </w:rPr>
        <w:t>naprakész információs,</w:t>
      </w:r>
      <w:r>
        <w:rPr>
          <w:rFonts w:cs="Times New Roman"/>
          <w:sz w:val="24"/>
          <w:szCs w:val="24"/>
        </w:rPr>
        <w:t xml:space="preserve"> </w:t>
      </w:r>
      <w:r w:rsidRPr="009B5880">
        <w:rPr>
          <w:rFonts w:cs="Times New Roman"/>
          <w:sz w:val="24"/>
          <w:szCs w:val="24"/>
        </w:rPr>
        <w:t>elemző</w:t>
      </w:r>
      <w:r>
        <w:rPr>
          <w:rFonts w:cs="Times New Roman"/>
          <w:sz w:val="24"/>
          <w:szCs w:val="24"/>
        </w:rPr>
        <w:t xml:space="preserve"> </w:t>
      </w:r>
      <w:r w:rsidRPr="009B5880">
        <w:rPr>
          <w:rFonts w:cs="Times New Roman"/>
          <w:sz w:val="24"/>
          <w:szCs w:val="24"/>
        </w:rPr>
        <w:t>bázisának</w:t>
      </w:r>
      <w:r>
        <w:rPr>
          <w:rFonts w:cs="Times New Roman"/>
          <w:sz w:val="24"/>
          <w:szCs w:val="24"/>
        </w:rPr>
        <w:t xml:space="preserve"> </w:t>
      </w:r>
      <w:r w:rsidRPr="009B5880">
        <w:rPr>
          <w:rFonts w:cs="Times New Roman"/>
          <w:sz w:val="24"/>
          <w:szCs w:val="24"/>
        </w:rPr>
        <w:t>kialakítása, Innovációs</w:t>
      </w:r>
      <w:r>
        <w:rPr>
          <w:rFonts w:cs="Times New Roman"/>
          <w:sz w:val="24"/>
          <w:szCs w:val="24"/>
        </w:rPr>
        <w:t xml:space="preserve"> </w:t>
      </w:r>
      <w:r w:rsidRPr="009B5880">
        <w:rPr>
          <w:rFonts w:cs="Times New Roman"/>
          <w:sz w:val="24"/>
          <w:szCs w:val="24"/>
        </w:rPr>
        <w:t>Kutató</w:t>
      </w:r>
      <w:r>
        <w:rPr>
          <w:rFonts w:cs="Times New Roman"/>
          <w:sz w:val="24"/>
          <w:szCs w:val="24"/>
        </w:rPr>
        <w:t xml:space="preserve"> </w:t>
      </w:r>
      <w:r w:rsidRPr="009B5880">
        <w:rPr>
          <w:rFonts w:cs="Times New Roman"/>
          <w:sz w:val="24"/>
          <w:szCs w:val="24"/>
        </w:rPr>
        <w:t>Központ,</w:t>
      </w:r>
      <w:r>
        <w:rPr>
          <w:rFonts w:cs="Times New Roman"/>
          <w:sz w:val="24"/>
          <w:szCs w:val="24"/>
        </w:rPr>
        <w:t xml:space="preserve"> </w:t>
      </w:r>
      <w:r w:rsidRPr="009B5880">
        <w:rPr>
          <w:rFonts w:cs="Times New Roman"/>
          <w:sz w:val="24"/>
          <w:szCs w:val="24"/>
        </w:rPr>
        <w:t>Budapest</w:t>
      </w:r>
    </w:p>
    <w:p w:rsidR="00510717" w:rsidRPr="009B5880" w:rsidRDefault="00510717" w:rsidP="00B4592E">
      <w:pPr>
        <w:spacing w:line="480" w:lineRule="auto"/>
        <w:rPr>
          <w:rFonts w:cs="Times New Roman"/>
          <w:sz w:val="24"/>
          <w:szCs w:val="24"/>
        </w:rPr>
      </w:pPr>
      <w:r w:rsidRPr="009B5880">
        <w:rPr>
          <w:rFonts w:cs="Times New Roman"/>
          <w:sz w:val="24"/>
          <w:szCs w:val="24"/>
        </w:rPr>
        <w:t>Kelenhegyi</w:t>
      </w:r>
      <w:r>
        <w:rPr>
          <w:rFonts w:cs="Times New Roman"/>
          <w:sz w:val="24"/>
          <w:szCs w:val="24"/>
        </w:rPr>
        <w:t xml:space="preserve"> </w:t>
      </w:r>
      <w:r w:rsidRPr="009B5880">
        <w:rPr>
          <w:rFonts w:cs="Times New Roman"/>
          <w:sz w:val="24"/>
          <w:szCs w:val="24"/>
        </w:rPr>
        <w:t>P.</w:t>
      </w:r>
      <w:r>
        <w:rPr>
          <w:rFonts w:cs="Times New Roman"/>
          <w:sz w:val="24"/>
          <w:szCs w:val="24"/>
        </w:rPr>
        <w:t xml:space="preserve"> </w:t>
      </w:r>
      <w:r w:rsidRPr="009B5880">
        <w:rPr>
          <w:rFonts w:cs="Times New Roman"/>
          <w:sz w:val="24"/>
          <w:szCs w:val="24"/>
        </w:rPr>
        <w:t>(2009):</w:t>
      </w:r>
      <w:r>
        <w:rPr>
          <w:rFonts w:cs="Times New Roman"/>
          <w:sz w:val="24"/>
          <w:szCs w:val="24"/>
        </w:rPr>
        <w:t xml:space="preserve"> </w:t>
      </w:r>
      <w:r w:rsidRPr="009B5880">
        <w:rPr>
          <w:rFonts w:cs="Times New Roman"/>
          <w:sz w:val="24"/>
          <w:szCs w:val="24"/>
        </w:rPr>
        <w:t>Innovációs</w:t>
      </w:r>
      <w:r>
        <w:rPr>
          <w:rFonts w:cs="Times New Roman"/>
          <w:sz w:val="24"/>
          <w:szCs w:val="24"/>
        </w:rPr>
        <w:t xml:space="preserve"> </w:t>
      </w:r>
      <w:r w:rsidRPr="009B5880">
        <w:rPr>
          <w:rFonts w:cs="Times New Roman"/>
          <w:sz w:val="24"/>
          <w:szCs w:val="24"/>
        </w:rPr>
        <w:t xml:space="preserve">tudásbázis, </w:t>
      </w:r>
      <w:hyperlink r:id="rId17" w:history="1">
        <w:r w:rsidRPr="009B5880">
          <w:rPr>
            <w:rStyle w:val="Hiperhivatkozs"/>
            <w:rFonts w:cs="Times New Roman"/>
            <w:color w:val="auto"/>
            <w:sz w:val="24"/>
            <w:szCs w:val="24"/>
            <w:u w:val="none"/>
          </w:rPr>
          <w:t>http://www.itbusiness.hu/hetilap/hirhatter/Innovacios_tudasbazis.html</w:t>
        </w:r>
      </w:hyperlink>
    </w:p>
    <w:p w:rsidR="00510717" w:rsidRPr="009B5880" w:rsidRDefault="00510717" w:rsidP="00B4592E">
      <w:pPr>
        <w:spacing w:line="480" w:lineRule="auto"/>
        <w:rPr>
          <w:rFonts w:cs="Times New Roman"/>
          <w:sz w:val="24"/>
          <w:szCs w:val="24"/>
        </w:rPr>
      </w:pPr>
      <w:r w:rsidRPr="009B5880">
        <w:rPr>
          <w:rFonts w:cs="Times New Roman"/>
          <w:sz w:val="24"/>
          <w:szCs w:val="24"/>
        </w:rPr>
        <w:t>Nagy</w:t>
      </w:r>
      <w:r>
        <w:rPr>
          <w:rFonts w:cs="Times New Roman"/>
          <w:sz w:val="24"/>
          <w:szCs w:val="24"/>
        </w:rPr>
        <w:t xml:space="preserve"> </w:t>
      </w:r>
      <w:r w:rsidRPr="009B5880">
        <w:rPr>
          <w:rFonts w:cs="Times New Roman"/>
          <w:sz w:val="24"/>
          <w:szCs w:val="24"/>
        </w:rPr>
        <w:t>A.</w:t>
      </w:r>
      <w:r>
        <w:rPr>
          <w:rFonts w:cs="Times New Roman"/>
          <w:sz w:val="24"/>
          <w:szCs w:val="24"/>
        </w:rPr>
        <w:t xml:space="preserve"> </w:t>
      </w:r>
      <w:r w:rsidRPr="009B5880">
        <w:rPr>
          <w:rFonts w:cs="Times New Roman"/>
          <w:sz w:val="24"/>
          <w:szCs w:val="24"/>
        </w:rPr>
        <w:noBreakHyphen/>
      </w:r>
      <w:r>
        <w:rPr>
          <w:rFonts w:cs="Times New Roman"/>
          <w:sz w:val="24"/>
          <w:szCs w:val="24"/>
        </w:rPr>
        <w:t xml:space="preserve"> </w:t>
      </w:r>
      <w:r w:rsidRPr="009B5880">
        <w:rPr>
          <w:rFonts w:cs="Times New Roman"/>
          <w:sz w:val="24"/>
          <w:szCs w:val="24"/>
        </w:rPr>
        <w:t>Juhász</w:t>
      </w:r>
      <w:r>
        <w:rPr>
          <w:rFonts w:cs="Times New Roman"/>
          <w:sz w:val="24"/>
          <w:szCs w:val="24"/>
        </w:rPr>
        <w:t xml:space="preserve"> </w:t>
      </w:r>
      <w:r w:rsidRPr="009B5880">
        <w:rPr>
          <w:rFonts w:cs="Times New Roman"/>
          <w:sz w:val="24"/>
          <w:szCs w:val="24"/>
        </w:rPr>
        <w:t>G.</w:t>
      </w:r>
      <w:r>
        <w:rPr>
          <w:rFonts w:cs="Times New Roman"/>
          <w:sz w:val="24"/>
          <w:szCs w:val="24"/>
        </w:rPr>
        <w:t xml:space="preserve"> </w:t>
      </w:r>
      <w:r w:rsidRPr="009B5880">
        <w:rPr>
          <w:rFonts w:cs="Times New Roman"/>
          <w:sz w:val="24"/>
          <w:szCs w:val="24"/>
        </w:rPr>
        <w:t>P.</w:t>
      </w:r>
      <w:r>
        <w:rPr>
          <w:rFonts w:cs="Times New Roman"/>
          <w:sz w:val="24"/>
          <w:szCs w:val="24"/>
        </w:rPr>
        <w:t xml:space="preserve"> </w:t>
      </w:r>
      <w:r w:rsidRPr="009B5880">
        <w:rPr>
          <w:rFonts w:cs="Times New Roman"/>
          <w:sz w:val="24"/>
          <w:szCs w:val="24"/>
        </w:rPr>
        <w:t>(2009):</w:t>
      </w:r>
      <w:r>
        <w:rPr>
          <w:rFonts w:cs="Times New Roman"/>
          <w:sz w:val="24"/>
          <w:szCs w:val="24"/>
        </w:rPr>
        <w:t xml:space="preserve"> </w:t>
      </w:r>
      <w:r w:rsidRPr="009B5880">
        <w:rPr>
          <w:rFonts w:cs="Times New Roman"/>
          <w:sz w:val="24"/>
          <w:szCs w:val="24"/>
        </w:rPr>
        <w:t>A</w:t>
      </w:r>
      <w:r>
        <w:rPr>
          <w:rFonts w:cs="Times New Roman"/>
          <w:sz w:val="24"/>
          <w:szCs w:val="24"/>
        </w:rPr>
        <w:t xml:space="preserve"> </w:t>
      </w:r>
      <w:r w:rsidRPr="009B5880">
        <w:rPr>
          <w:rFonts w:cs="Times New Roman"/>
          <w:sz w:val="24"/>
          <w:szCs w:val="24"/>
        </w:rPr>
        <w:t>Területfejlesztési</w:t>
      </w:r>
      <w:r>
        <w:rPr>
          <w:rFonts w:cs="Times New Roman"/>
          <w:sz w:val="24"/>
          <w:szCs w:val="24"/>
        </w:rPr>
        <w:t xml:space="preserve"> </w:t>
      </w:r>
      <w:r w:rsidRPr="009B5880">
        <w:rPr>
          <w:rFonts w:cs="Times New Roman"/>
          <w:sz w:val="24"/>
          <w:szCs w:val="24"/>
        </w:rPr>
        <w:t>Megyfigyelő</w:t>
      </w:r>
      <w:r>
        <w:rPr>
          <w:rFonts w:cs="Times New Roman"/>
          <w:sz w:val="24"/>
          <w:szCs w:val="24"/>
        </w:rPr>
        <w:t xml:space="preserve"> </w:t>
      </w:r>
      <w:r w:rsidRPr="009B5880">
        <w:rPr>
          <w:rFonts w:cs="Times New Roman"/>
          <w:sz w:val="24"/>
          <w:szCs w:val="24"/>
        </w:rPr>
        <w:t>és Értékelő</w:t>
      </w:r>
      <w:r>
        <w:rPr>
          <w:rFonts w:cs="Times New Roman"/>
          <w:sz w:val="24"/>
          <w:szCs w:val="24"/>
        </w:rPr>
        <w:t xml:space="preserve"> </w:t>
      </w:r>
      <w:r w:rsidRPr="009B5880">
        <w:rPr>
          <w:rFonts w:cs="Times New Roman"/>
          <w:sz w:val="24"/>
          <w:szCs w:val="24"/>
        </w:rPr>
        <w:t>Rendszer</w:t>
      </w:r>
      <w:r>
        <w:rPr>
          <w:rFonts w:cs="Times New Roman"/>
          <w:sz w:val="24"/>
          <w:szCs w:val="24"/>
        </w:rPr>
        <w:t xml:space="preserve"> </w:t>
      </w:r>
      <w:r w:rsidRPr="009B5880">
        <w:rPr>
          <w:rFonts w:cs="Times New Roman"/>
          <w:sz w:val="24"/>
          <w:szCs w:val="24"/>
        </w:rPr>
        <w:t>(T</w:t>
      </w:r>
      <w:r w:rsidRPr="009B5880">
        <w:rPr>
          <w:rFonts w:cs="Times New Roman"/>
          <w:sz w:val="24"/>
          <w:szCs w:val="24"/>
        </w:rPr>
        <w:noBreakHyphen/>
        <w:t>MER)</w:t>
      </w:r>
      <w:r>
        <w:rPr>
          <w:rFonts w:cs="Times New Roman"/>
          <w:sz w:val="24"/>
          <w:szCs w:val="24"/>
        </w:rPr>
        <w:t xml:space="preserve"> </w:t>
      </w:r>
      <w:r w:rsidRPr="009B5880">
        <w:rPr>
          <w:rFonts w:cs="Times New Roman"/>
          <w:sz w:val="24"/>
          <w:szCs w:val="24"/>
        </w:rPr>
        <w:t>kialakítása</w:t>
      </w:r>
      <w:r>
        <w:rPr>
          <w:rFonts w:cs="Times New Roman"/>
          <w:sz w:val="24"/>
          <w:szCs w:val="24"/>
        </w:rPr>
        <w:t xml:space="preserve"> </w:t>
      </w:r>
      <w:r w:rsidRPr="009B5880">
        <w:rPr>
          <w:rFonts w:cs="Times New Roman"/>
          <w:sz w:val="24"/>
          <w:szCs w:val="24"/>
        </w:rPr>
        <w:t>és</w:t>
      </w:r>
      <w:r>
        <w:rPr>
          <w:rFonts w:cs="Times New Roman"/>
          <w:sz w:val="24"/>
          <w:szCs w:val="24"/>
        </w:rPr>
        <w:t xml:space="preserve"> </w:t>
      </w:r>
      <w:r w:rsidRPr="009B5880">
        <w:rPr>
          <w:rFonts w:cs="Times New Roman"/>
          <w:sz w:val="24"/>
          <w:szCs w:val="24"/>
        </w:rPr>
        <w:t>fejlesztése</w:t>
      </w:r>
      <w:r>
        <w:rPr>
          <w:rFonts w:cs="Times New Roman"/>
          <w:sz w:val="24"/>
          <w:szCs w:val="24"/>
        </w:rPr>
        <w:t xml:space="preserve"> </w:t>
      </w:r>
      <w:r w:rsidRPr="009B5880">
        <w:rPr>
          <w:rFonts w:cs="Times New Roman"/>
          <w:sz w:val="24"/>
          <w:szCs w:val="24"/>
        </w:rPr>
        <w:t>a</w:t>
      </w:r>
      <w:r>
        <w:rPr>
          <w:rFonts w:cs="Times New Roman"/>
          <w:sz w:val="24"/>
          <w:szCs w:val="24"/>
        </w:rPr>
        <w:t xml:space="preserve"> </w:t>
      </w:r>
      <w:r w:rsidRPr="009B5880">
        <w:rPr>
          <w:rFonts w:cs="Times New Roman"/>
          <w:sz w:val="24"/>
          <w:szCs w:val="24"/>
        </w:rPr>
        <w:t>VÁTI</w:t>
      </w:r>
      <w:r>
        <w:rPr>
          <w:rFonts w:cs="Times New Roman"/>
          <w:sz w:val="24"/>
          <w:szCs w:val="24"/>
        </w:rPr>
        <w:t xml:space="preserve"> </w:t>
      </w:r>
      <w:r w:rsidRPr="009B5880">
        <w:rPr>
          <w:rFonts w:cs="Times New Roman"/>
          <w:sz w:val="24"/>
          <w:szCs w:val="24"/>
        </w:rPr>
        <w:t>Kht.</w:t>
      </w:r>
      <w:r w:rsidRPr="009B5880">
        <w:rPr>
          <w:rFonts w:cs="Times New Roman"/>
          <w:sz w:val="24"/>
          <w:szCs w:val="24"/>
        </w:rPr>
        <w:noBreakHyphen/>
        <w:t>ban, http://www.geo.info.hu/gisopen/gisopen2009/eloadasok/pdf/juhasz_geza_nagy_andras.pdf</w:t>
      </w:r>
    </w:p>
    <w:p w:rsidR="00510717" w:rsidRPr="009B5880" w:rsidRDefault="00510717" w:rsidP="00B4592E">
      <w:pPr>
        <w:spacing w:line="480" w:lineRule="auto"/>
        <w:rPr>
          <w:rFonts w:cs="Times New Roman"/>
          <w:sz w:val="24"/>
          <w:szCs w:val="24"/>
        </w:rPr>
      </w:pPr>
      <w:r w:rsidRPr="009B5880">
        <w:rPr>
          <w:rFonts w:cs="Times New Roman"/>
          <w:sz w:val="24"/>
          <w:szCs w:val="24"/>
        </w:rPr>
        <w:t>Pitlik L. – Ruff F. (2008): „Konzisztencia-gyár”, avagy stratégiai és operatív</w:t>
      </w:r>
      <w:r>
        <w:rPr>
          <w:rFonts w:cs="Times New Roman"/>
          <w:sz w:val="24"/>
          <w:szCs w:val="24"/>
        </w:rPr>
        <w:t xml:space="preserve"> </w:t>
      </w:r>
      <w:r w:rsidRPr="009B5880">
        <w:rPr>
          <w:rFonts w:cs="Times New Roman"/>
          <w:sz w:val="24"/>
          <w:szCs w:val="24"/>
        </w:rPr>
        <w:t>ajánlások</w:t>
      </w:r>
      <w:r>
        <w:rPr>
          <w:rFonts w:cs="Times New Roman"/>
          <w:sz w:val="24"/>
          <w:szCs w:val="24"/>
        </w:rPr>
        <w:t xml:space="preserve"> </w:t>
      </w:r>
      <w:r w:rsidRPr="009B5880">
        <w:rPr>
          <w:rFonts w:cs="Times New Roman"/>
          <w:sz w:val="24"/>
          <w:szCs w:val="24"/>
        </w:rPr>
        <w:t>a</w:t>
      </w:r>
      <w:r>
        <w:rPr>
          <w:rFonts w:cs="Times New Roman"/>
          <w:sz w:val="24"/>
          <w:szCs w:val="24"/>
        </w:rPr>
        <w:t xml:space="preserve"> </w:t>
      </w:r>
      <w:r w:rsidRPr="009B5880">
        <w:rPr>
          <w:rFonts w:cs="Times New Roman"/>
          <w:sz w:val="24"/>
          <w:szCs w:val="24"/>
        </w:rPr>
        <w:t>modellezés</w:t>
      </w:r>
      <w:r>
        <w:rPr>
          <w:rFonts w:cs="Times New Roman"/>
          <w:sz w:val="24"/>
          <w:szCs w:val="24"/>
        </w:rPr>
        <w:t xml:space="preserve"> </w:t>
      </w:r>
      <w:r w:rsidRPr="009B5880">
        <w:rPr>
          <w:rFonts w:cs="Times New Roman"/>
          <w:sz w:val="24"/>
          <w:szCs w:val="24"/>
        </w:rPr>
        <w:t>automatizálásához, http://miau.gau.hu/miau/116/szigma_plrf.doc</w:t>
      </w:r>
    </w:p>
    <w:p w:rsidR="00510717" w:rsidRPr="009B5880" w:rsidRDefault="00510717" w:rsidP="00B4592E">
      <w:pPr>
        <w:spacing w:line="480" w:lineRule="auto"/>
        <w:rPr>
          <w:rFonts w:cs="Times New Roman"/>
          <w:sz w:val="24"/>
          <w:szCs w:val="24"/>
        </w:rPr>
      </w:pPr>
      <w:r w:rsidRPr="009B5880">
        <w:rPr>
          <w:rFonts w:cs="Times New Roman"/>
          <w:sz w:val="24"/>
          <w:szCs w:val="24"/>
        </w:rPr>
        <w:t>Pitlik L. (2009): A bioetika és a hasonlóságelemzés, avagy hídverés a humán</w:t>
      </w:r>
      <w:r>
        <w:rPr>
          <w:rFonts w:cs="Times New Roman"/>
          <w:sz w:val="24"/>
          <w:szCs w:val="24"/>
        </w:rPr>
        <w:t xml:space="preserve"> </w:t>
      </w:r>
      <w:r w:rsidRPr="009B5880">
        <w:rPr>
          <w:rFonts w:cs="Times New Roman"/>
          <w:sz w:val="24"/>
          <w:szCs w:val="24"/>
        </w:rPr>
        <w:t>és</w:t>
      </w:r>
      <w:r>
        <w:rPr>
          <w:rFonts w:cs="Times New Roman"/>
          <w:sz w:val="24"/>
          <w:szCs w:val="24"/>
        </w:rPr>
        <w:t xml:space="preserve"> </w:t>
      </w:r>
      <w:r w:rsidRPr="009B5880">
        <w:rPr>
          <w:rFonts w:cs="Times New Roman"/>
          <w:sz w:val="24"/>
          <w:szCs w:val="24"/>
        </w:rPr>
        <w:t>a</w:t>
      </w:r>
      <w:r>
        <w:rPr>
          <w:rFonts w:cs="Times New Roman"/>
          <w:sz w:val="24"/>
          <w:szCs w:val="24"/>
        </w:rPr>
        <w:t xml:space="preserve"> </w:t>
      </w:r>
      <w:r w:rsidRPr="009B5880">
        <w:rPr>
          <w:rFonts w:cs="Times New Roman"/>
          <w:sz w:val="24"/>
          <w:szCs w:val="24"/>
        </w:rPr>
        <w:t>reál</w:t>
      </w:r>
      <w:r>
        <w:rPr>
          <w:rFonts w:cs="Times New Roman"/>
          <w:sz w:val="24"/>
          <w:szCs w:val="24"/>
        </w:rPr>
        <w:t xml:space="preserve"> </w:t>
      </w:r>
      <w:r w:rsidRPr="009B5880">
        <w:rPr>
          <w:rFonts w:cs="Times New Roman"/>
          <w:sz w:val="24"/>
          <w:szCs w:val="24"/>
        </w:rPr>
        <w:t>tudományterületek</w:t>
      </w:r>
      <w:r>
        <w:rPr>
          <w:rFonts w:cs="Times New Roman"/>
          <w:sz w:val="24"/>
          <w:szCs w:val="24"/>
        </w:rPr>
        <w:t xml:space="preserve"> </w:t>
      </w:r>
      <w:r w:rsidRPr="009B5880">
        <w:rPr>
          <w:rFonts w:cs="Times New Roman"/>
          <w:sz w:val="24"/>
          <w:szCs w:val="24"/>
        </w:rPr>
        <w:t xml:space="preserve">között, </w:t>
      </w:r>
      <w:hyperlink r:id="rId18" w:history="1">
        <w:r w:rsidRPr="009B5880">
          <w:rPr>
            <w:rStyle w:val="Hiperhivatkozs"/>
            <w:rFonts w:cs="Times New Roman"/>
            <w:color w:val="auto"/>
            <w:sz w:val="24"/>
            <w:szCs w:val="24"/>
            <w:u w:val="none"/>
          </w:rPr>
          <w:t>http://miau.gau.hu/miau2009/index.php3?x=miau128&amp;where[indexkod]=miau132/la132.docx</w:t>
        </w:r>
      </w:hyperlink>
    </w:p>
    <w:p w:rsidR="00510717" w:rsidRPr="009B5880" w:rsidRDefault="00510717" w:rsidP="00B4592E">
      <w:pPr>
        <w:spacing w:line="480" w:lineRule="auto"/>
        <w:rPr>
          <w:rFonts w:cs="Times New Roman"/>
          <w:sz w:val="24"/>
          <w:szCs w:val="24"/>
        </w:rPr>
      </w:pPr>
      <w:bookmarkStart w:id="12" w:name="_Toc234904004"/>
      <w:bookmarkStart w:id="13" w:name="_Toc236821498"/>
      <w:r w:rsidRPr="009B5880">
        <w:rPr>
          <w:rFonts w:cs="Times New Roman"/>
          <w:sz w:val="24"/>
          <w:szCs w:val="24"/>
        </w:rPr>
        <w:lastRenderedPageBreak/>
        <w:t>Pitlik</w:t>
      </w:r>
      <w:r>
        <w:rPr>
          <w:rFonts w:cs="Times New Roman"/>
          <w:sz w:val="24"/>
          <w:szCs w:val="24"/>
        </w:rPr>
        <w:t xml:space="preserve"> </w:t>
      </w:r>
      <w:r w:rsidRPr="009B5880">
        <w:rPr>
          <w:rFonts w:cs="Times New Roman"/>
          <w:sz w:val="24"/>
          <w:szCs w:val="24"/>
        </w:rPr>
        <w:t>L.</w:t>
      </w:r>
      <w:r>
        <w:rPr>
          <w:rFonts w:cs="Times New Roman"/>
          <w:sz w:val="24"/>
          <w:szCs w:val="24"/>
        </w:rPr>
        <w:t xml:space="preserve"> </w:t>
      </w:r>
      <w:r w:rsidRPr="009B5880">
        <w:rPr>
          <w:rFonts w:cs="Times New Roman"/>
          <w:sz w:val="24"/>
          <w:szCs w:val="24"/>
        </w:rPr>
        <w:t>(2009):</w:t>
      </w:r>
      <w:r>
        <w:rPr>
          <w:rFonts w:cs="Times New Roman"/>
          <w:sz w:val="24"/>
          <w:szCs w:val="24"/>
        </w:rPr>
        <w:t xml:space="preserve"> </w:t>
      </w:r>
      <w:r w:rsidRPr="009B5880">
        <w:rPr>
          <w:rFonts w:cs="Times New Roman"/>
          <w:sz w:val="24"/>
          <w:szCs w:val="24"/>
        </w:rPr>
        <w:t>Minden</w:t>
      </w:r>
      <w:r>
        <w:rPr>
          <w:rFonts w:cs="Times New Roman"/>
          <w:sz w:val="24"/>
          <w:szCs w:val="24"/>
        </w:rPr>
        <w:t xml:space="preserve"> </w:t>
      </w:r>
      <w:r w:rsidRPr="009B5880">
        <w:rPr>
          <w:rFonts w:cs="Times New Roman"/>
          <w:sz w:val="24"/>
          <w:szCs w:val="24"/>
        </w:rPr>
        <w:t>jelző</w:t>
      </w:r>
      <w:r>
        <w:rPr>
          <w:rFonts w:cs="Times New Roman"/>
          <w:sz w:val="24"/>
          <w:szCs w:val="24"/>
        </w:rPr>
        <w:t xml:space="preserve"> </w:t>
      </w:r>
      <w:r w:rsidRPr="009B5880">
        <w:rPr>
          <w:rFonts w:cs="Times New Roman"/>
          <w:sz w:val="24"/>
          <w:szCs w:val="24"/>
        </w:rPr>
        <w:t>egy</w:t>
      </w:r>
      <w:r>
        <w:rPr>
          <w:rFonts w:cs="Times New Roman"/>
          <w:sz w:val="24"/>
          <w:szCs w:val="24"/>
        </w:rPr>
        <w:t xml:space="preserve"> </w:t>
      </w:r>
      <w:r w:rsidRPr="009B5880">
        <w:rPr>
          <w:rFonts w:cs="Times New Roman"/>
          <w:sz w:val="24"/>
          <w:szCs w:val="24"/>
        </w:rPr>
        <w:t>modell!?</w:t>
      </w:r>
      <w:bookmarkEnd w:id="12"/>
      <w:bookmarkEnd w:id="13"/>
      <w:r w:rsidRPr="009B5880">
        <w:rPr>
          <w:rFonts w:cs="Times New Roman"/>
          <w:sz w:val="24"/>
          <w:szCs w:val="24"/>
        </w:rPr>
        <w:t xml:space="preserve"> http://miau.gau.hu/miau2009/index.php3?x=miau128&amp;where[indexkod]=miau131</w:t>
      </w:r>
    </w:p>
    <w:p w:rsidR="00510717" w:rsidRPr="009B5880" w:rsidRDefault="00510717" w:rsidP="00B4592E">
      <w:pPr>
        <w:spacing w:line="480" w:lineRule="auto"/>
        <w:rPr>
          <w:rFonts w:cs="Times New Roman"/>
          <w:sz w:val="24"/>
          <w:szCs w:val="24"/>
        </w:rPr>
      </w:pPr>
      <w:r w:rsidRPr="009B5880">
        <w:rPr>
          <w:rFonts w:cs="Times New Roman"/>
          <w:sz w:val="24"/>
          <w:szCs w:val="24"/>
        </w:rPr>
        <w:t>Pitlik</w:t>
      </w:r>
      <w:r>
        <w:rPr>
          <w:rFonts w:cs="Times New Roman"/>
          <w:sz w:val="24"/>
          <w:szCs w:val="24"/>
        </w:rPr>
        <w:t xml:space="preserve"> </w:t>
      </w:r>
      <w:r w:rsidRPr="009B5880">
        <w:rPr>
          <w:rFonts w:cs="Times New Roman"/>
          <w:sz w:val="24"/>
          <w:szCs w:val="24"/>
        </w:rPr>
        <w:t>L.</w:t>
      </w:r>
      <w:r>
        <w:rPr>
          <w:rFonts w:cs="Times New Roman"/>
          <w:sz w:val="24"/>
          <w:szCs w:val="24"/>
        </w:rPr>
        <w:t xml:space="preserve"> </w:t>
      </w:r>
      <w:r w:rsidRPr="009B5880">
        <w:rPr>
          <w:rFonts w:cs="Times New Roman"/>
          <w:sz w:val="24"/>
          <w:szCs w:val="24"/>
        </w:rPr>
        <w:t>et.</w:t>
      </w:r>
      <w:r>
        <w:rPr>
          <w:rFonts w:cs="Times New Roman"/>
          <w:sz w:val="24"/>
          <w:szCs w:val="24"/>
        </w:rPr>
        <w:t xml:space="preserve"> </w:t>
      </w:r>
      <w:r w:rsidRPr="009B5880">
        <w:rPr>
          <w:rFonts w:cs="Times New Roman"/>
          <w:sz w:val="24"/>
          <w:szCs w:val="24"/>
        </w:rPr>
        <w:t>al.</w:t>
      </w:r>
      <w:r>
        <w:rPr>
          <w:rFonts w:cs="Times New Roman"/>
          <w:sz w:val="24"/>
          <w:szCs w:val="24"/>
        </w:rPr>
        <w:t xml:space="preserve"> </w:t>
      </w:r>
      <w:r w:rsidRPr="009B5880">
        <w:rPr>
          <w:rFonts w:cs="Times New Roman"/>
          <w:sz w:val="24"/>
          <w:szCs w:val="24"/>
        </w:rPr>
        <w:t>(2008):</w:t>
      </w:r>
      <w:r>
        <w:rPr>
          <w:rFonts w:cs="Times New Roman"/>
          <w:sz w:val="24"/>
          <w:szCs w:val="24"/>
        </w:rPr>
        <w:t xml:space="preserve"> </w:t>
      </w:r>
      <w:r w:rsidRPr="009B5880">
        <w:rPr>
          <w:rFonts w:cs="Times New Roman"/>
          <w:sz w:val="24"/>
          <w:szCs w:val="24"/>
        </w:rPr>
        <w:t>Kezdeti</w:t>
      </w:r>
      <w:r>
        <w:rPr>
          <w:rFonts w:cs="Times New Roman"/>
          <w:sz w:val="24"/>
          <w:szCs w:val="24"/>
        </w:rPr>
        <w:t xml:space="preserve"> </w:t>
      </w:r>
      <w:r w:rsidRPr="009B5880">
        <w:rPr>
          <w:rFonts w:cs="Times New Roman"/>
          <w:sz w:val="24"/>
          <w:szCs w:val="24"/>
        </w:rPr>
        <w:t>lépések</w:t>
      </w:r>
      <w:r>
        <w:rPr>
          <w:rFonts w:cs="Times New Roman"/>
          <w:sz w:val="24"/>
          <w:szCs w:val="24"/>
        </w:rPr>
        <w:t xml:space="preserve"> </w:t>
      </w:r>
      <w:r w:rsidRPr="009B5880">
        <w:rPr>
          <w:rFonts w:cs="Times New Roman"/>
          <w:sz w:val="24"/>
          <w:szCs w:val="24"/>
        </w:rPr>
        <w:t>a</w:t>
      </w:r>
      <w:r>
        <w:rPr>
          <w:rFonts w:cs="Times New Roman"/>
          <w:sz w:val="24"/>
          <w:szCs w:val="24"/>
        </w:rPr>
        <w:t xml:space="preserve"> </w:t>
      </w:r>
      <w:r w:rsidRPr="009B5880">
        <w:rPr>
          <w:rFonts w:cs="Times New Roman"/>
          <w:sz w:val="24"/>
          <w:szCs w:val="24"/>
        </w:rPr>
        <w:t>tényekre</w:t>
      </w:r>
      <w:r>
        <w:rPr>
          <w:rFonts w:cs="Times New Roman"/>
          <w:sz w:val="24"/>
          <w:szCs w:val="24"/>
        </w:rPr>
        <w:t xml:space="preserve"> </w:t>
      </w:r>
      <w:r w:rsidRPr="009B5880">
        <w:rPr>
          <w:rFonts w:cs="Times New Roman"/>
          <w:sz w:val="24"/>
          <w:szCs w:val="24"/>
        </w:rPr>
        <w:t>alapozott szakpolitikai</w:t>
      </w:r>
      <w:r>
        <w:rPr>
          <w:rFonts w:cs="Times New Roman"/>
          <w:sz w:val="24"/>
          <w:szCs w:val="24"/>
        </w:rPr>
        <w:t xml:space="preserve"> </w:t>
      </w:r>
      <w:r w:rsidRPr="009B5880">
        <w:rPr>
          <w:rFonts w:cs="Times New Roman"/>
          <w:sz w:val="24"/>
          <w:szCs w:val="24"/>
        </w:rPr>
        <w:t>döntéshozatal</w:t>
      </w:r>
      <w:r>
        <w:rPr>
          <w:rFonts w:cs="Times New Roman"/>
          <w:sz w:val="24"/>
          <w:szCs w:val="24"/>
        </w:rPr>
        <w:t xml:space="preserve"> </w:t>
      </w:r>
      <w:r w:rsidRPr="009B5880">
        <w:rPr>
          <w:rFonts w:cs="Times New Roman"/>
          <w:sz w:val="24"/>
          <w:szCs w:val="24"/>
        </w:rPr>
        <w:t>kultúrájának</w:t>
      </w:r>
      <w:r>
        <w:rPr>
          <w:rFonts w:cs="Times New Roman"/>
          <w:sz w:val="24"/>
          <w:szCs w:val="24"/>
        </w:rPr>
        <w:t xml:space="preserve"> </w:t>
      </w:r>
      <w:r w:rsidRPr="009B5880">
        <w:rPr>
          <w:rFonts w:cs="Times New Roman"/>
          <w:sz w:val="24"/>
          <w:szCs w:val="24"/>
        </w:rPr>
        <w:t>elterjesztése</w:t>
      </w:r>
      <w:r>
        <w:rPr>
          <w:rFonts w:cs="Times New Roman"/>
          <w:sz w:val="24"/>
          <w:szCs w:val="24"/>
        </w:rPr>
        <w:t xml:space="preserve"> </w:t>
      </w:r>
      <w:r w:rsidRPr="009B5880">
        <w:rPr>
          <w:rFonts w:cs="Times New Roman"/>
          <w:sz w:val="24"/>
          <w:szCs w:val="24"/>
        </w:rPr>
        <w:t xml:space="preserve">érdekében, </w:t>
      </w:r>
      <w:hyperlink r:id="rId19" w:history="1">
        <w:r w:rsidRPr="009B5880">
          <w:rPr>
            <w:rStyle w:val="Hiperhivatkozs"/>
            <w:rFonts w:cs="Times New Roman"/>
            <w:color w:val="auto"/>
            <w:sz w:val="24"/>
            <w:szCs w:val="24"/>
            <w:u w:val="none"/>
          </w:rPr>
          <w:t>http://www.mnvh.hu/ptPortal/index.php?mod=news&amp;action=showNews&amp;newsid=9463&amp;lang=hu</w:t>
        </w:r>
      </w:hyperlink>
    </w:p>
    <w:p w:rsidR="009B5880" w:rsidRPr="009B5880" w:rsidRDefault="009B5880" w:rsidP="009B5880">
      <w:pPr>
        <w:spacing w:before="240" w:line="240" w:lineRule="auto"/>
        <w:jc w:val="center"/>
        <w:rPr>
          <w:b/>
          <w:bCs/>
          <w:sz w:val="30"/>
          <w:szCs w:val="30"/>
        </w:rPr>
      </w:pPr>
      <w:r w:rsidRPr="009B5880">
        <w:rPr>
          <w:b/>
          <w:bCs/>
          <w:sz w:val="30"/>
          <w:szCs w:val="30"/>
        </w:rPr>
        <w:t>Levelezési cím</w:t>
      </w:r>
    </w:p>
    <w:p w:rsidR="009B5880" w:rsidRPr="009B5880" w:rsidRDefault="009B5880" w:rsidP="009B5880">
      <w:pPr>
        <w:spacing w:line="240" w:lineRule="auto"/>
        <w:rPr>
          <w:bCs/>
        </w:rPr>
      </w:pPr>
      <w:r>
        <w:rPr>
          <w:bCs/>
        </w:rPr>
        <w:t>Horváth Henrietta</w:t>
      </w:r>
    </w:p>
    <w:p w:rsidR="009B5880" w:rsidRDefault="009B5880" w:rsidP="009B5880">
      <w:pPr>
        <w:spacing w:line="240" w:lineRule="auto"/>
      </w:pPr>
      <w:r w:rsidRPr="003B5C94">
        <w:t>SZIE Gödöllő, Gazdaság- és Társadalomtudományi Kar</w:t>
      </w:r>
      <w:r>
        <w:t>, TATA Kiválósági Központ és Informatikai Intézet</w:t>
      </w:r>
    </w:p>
    <w:p w:rsidR="009B5880" w:rsidRDefault="009B5880" w:rsidP="009B5880">
      <w:pPr>
        <w:spacing w:line="240" w:lineRule="auto"/>
      </w:pPr>
      <w:r>
        <w:t>2100, Gödöllő, Tessedik Sámuel u. 6</w:t>
      </w:r>
    </w:p>
    <w:p w:rsidR="009B5880" w:rsidRDefault="009B5880" w:rsidP="009B5880">
      <w:pPr>
        <w:spacing w:line="240" w:lineRule="auto"/>
      </w:pPr>
      <w:r>
        <w:t>e-mail: hhencsi20ster@gmail.com</w:t>
      </w:r>
    </w:p>
    <w:p w:rsidR="009B5880" w:rsidRPr="00375465" w:rsidRDefault="009B5880" w:rsidP="009B5880">
      <w:pPr>
        <w:spacing w:line="240" w:lineRule="auto"/>
      </w:pPr>
      <w:r>
        <w:t>Tel.: 0628521160</w:t>
      </w:r>
    </w:p>
    <w:p w:rsidR="00135CEC" w:rsidRDefault="00135CEC" w:rsidP="00135CEC">
      <w:pPr>
        <w:spacing w:line="276" w:lineRule="auto"/>
        <w:rPr>
          <w:rFonts w:cs="Times New Roman"/>
          <w:sz w:val="24"/>
          <w:szCs w:val="24"/>
        </w:rPr>
      </w:pPr>
      <w:r>
        <w:rPr>
          <w:rFonts w:cs="Times New Roman"/>
          <w:sz w:val="24"/>
          <w:szCs w:val="24"/>
        </w:rPr>
        <w:br w:type="page"/>
      </w:r>
    </w:p>
    <w:p w:rsidR="00095635" w:rsidRDefault="00095635" w:rsidP="00B4592E">
      <w:pPr>
        <w:spacing w:line="240" w:lineRule="auto"/>
        <w:jc w:val="center"/>
        <w:rPr>
          <w:b/>
          <w:bCs/>
          <w:sz w:val="30"/>
          <w:szCs w:val="30"/>
        </w:rPr>
      </w:pPr>
      <w:r w:rsidRPr="0037425A">
        <w:rPr>
          <w:b/>
          <w:bCs/>
          <w:sz w:val="30"/>
          <w:szCs w:val="30"/>
        </w:rPr>
        <w:lastRenderedPageBreak/>
        <w:t>Táblázat, ábra, kép</w:t>
      </w:r>
    </w:p>
    <w:p w:rsidR="00095635" w:rsidRPr="000359DD" w:rsidRDefault="00095635" w:rsidP="00B4592E">
      <w:pPr>
        <w:spacing w:line="240" w:lineRule="auto"/>
        <w:jc w:val="center"/>
        <w:rPr>
          <w:rFonts w:eastAsia="Times New Roman" w:cs="Times New Roman"/>
          <w:noProof/>
          <w:sz w:val="24"/>
          <w:szCs w:val="24"/>
          <w:lang w:eastAsia="hu-HU"/>
        </w:rPr>
      </w:pPr>
      <w:r w:rsidRPr="000359DD">
        <w:rPr>
          <w:rFonts w:cs="Times New Roman"/>
          <w:b/>
          <w:bCs/>
          <w:sz w:val="24"/>
          <w:szCs w:val="24"/>
        </w:rPr>
        <w:fldChar w:fldCharType="begin"/>
      </w:r>
      <w:r w:rsidRPr="000359DD">
        <w:rPr>
          <w:rFonts w:cs="Times New Roman"/>
          <w:b/>
          <w:bCs/>
          <w:sz w:val="24"/>
          <w:szCs w:val="24"/>
        </w:rPr>
        <w:instrText xml:space="preserve"> SEQ kép \* ARABIC </w:instrText>
      </w:r>
      <w:r w:rsidRPr="000359DD">
        <w:rPr>
          <w:rFonts w:cs="Times New Roman"/>
          <w:b/>
          <w:bCs/>
          <w:sz w:val="24"/>
          <w:szCs w:val="24"/>
        </w:rPr>
        <w:fldChar w:fldCharType="separate"/>
      </w:r>
      <w:r w:rsidRPr="000359DD">
        <w:rPr>
          <w:rFonts w:cs="Times New Roman"/>
          <w:b/>
          <w:bCs/>
          <w:noProof/>
          <w:sz w:val="24"/>
          <w:szCs w:val="24"/>
        </w:rPr>
        <w:t>1</w:t>
      </w:r>
      <w:r w:rsidRPr="000359DD">
        <w:rPr>
          <w:rFonts w:cs="Times New Roman"/>
          <w:b/>
          <w:bCs/>
          <w:sz w:val="24"/>
          <w:szCs w:val="24"/>
        </w:rPr>
        <w:fldChar w:fldCharType="end"/>
      </w:r>
      <w:r w:rsidRPr="000359DD">
        <w:rPr>
          <w:rFonts w:cs="Times New Roman"/>
          <w:b/>
          <w:bCs/>
          <w:sz w:val="24"/>
          <w:szCs w:val="24"/>
        </w:rPr>
        <w:t>. kép A DIPO akcióterület települései</w:t>
      </w:r>
      <w:r>
        <w:rPr>
          <w:rFonts w:cs="Times New Roman"/>
          <w:b/>
          <w:bCs/>
          <w:sz w:val="24"/>
          <w:szCs w:val="24"/>
        </w:rPr>
        <w:t xml:space="preserve"> </w:t>
      </w:r>
    </w:p>
    <w:p w:rsidR="00C04323" w:rsidRDefault="00135CEC" w:rsidP="00B4592E">
      <w:pPr>
        <w:spacing w:line="240" w:lineRule="auto"/>
        <w:jc w:val="center"/>
        <w:rPr>
          <w:rFonts w:cs="Times New Roman"/>
          <w:sz w:val="24"/>
          <w:szCs w:val="24"/>
        </w:rPr>
      </w:pPr>
      <w:r w:rsidRPr="00135CEC">
        <w:rPr>
          <w:rFonts w:cs="Times New Roman"/>
          <w:noProof/>
          <w:sz w:val="24"/>
          <w:szCs w:val="24"/>
          <w:lang w:val="en-US"/>
        </w:rPr>
        <w:drawing>
          <wp:inline distT="0" distB="0" distL="0" distR="0">
            <wp:extent cx="4843897" cy="3272669"/>
            <wp:effectExtent l="19050" t="0" r="0" b="0"/>
            <wp:docPr id="3" name="Kép 1" descr="dip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o.bmp"/>
                    <pic:cNvPicPr/>
                  </pic:nvPicPr>
                  <pic:blipFill>
                    <a:blip r:embed="rId20" cstate="print"/>
                    <a:stretch>
                      <a:fillRect/>
                    </a:stretch>
                  </pic:blipFill>
                  <pic:spPr>
                    <a:xfrm>
                      <a:off x="0" y="0"/>
                      <a:ext cx="4842647" cy="3271825"/>
                    </a:xfrm>
                    <a:prstGeom prst="rect">
                      <a:avLst/>
                    </a:prstGeom>
                  </pic:spPr>
                </pic:pic>
              </a:graphicData>
            </a:graphic>
          </wp:inline>
        </w:drawing>
      </w:r>
    </w:p>
    <w:p w:rsidR="00B4592E" w:rsidRPr="00B4592E" w:rsidRDefault="00095635" w:rsidP="00B4592E">
      <w:pPr>
        <w:pStyle w:val="Kpalrs"/>
        <w:spacing w:before="120"/>
        <w:jc w:val="center"/>
        <w:rPr>
          <w:rFonts w:cs="Times New Roman"/>
          <w:b w:val="0"/>
          <w:color w:val="auto"/>
          <w:sz w:val="16"/>
          <w:szCs w:val="16"/>
        </w:rPr>
      </w:pPr>
      <w:bookmarkStart w:id="14" w:name="_Toc240622144"/>
      <w:bookmarkStart w:id="15" w:name="_Toc240697576"/>
      <w:bookmarkStart w:id="16" w:name="_Toc241767386"/>
      <w:bookmarkStart w:id="17" w:name="_Toc241835446"/>
      <w:bookmarkStart w:id="18" w:name="_Toc241996296"/>
      <w:r>
        <w:rPr>
          <w:rFonts w:cs="Times New Roman"/>
          <w:color w:val="auto"/>
          <w:sz w:val="16"/>
          <w:szCs w:val="16"/>
        </w:rPr>
        <w:t>(</w:t>
      </w:r>
      <w:hyperlink r:id="rId21" w:history="1">
        <w:r w:rsidRPr="00B4592E">
          <w:rPr>
            <w:rFonts w:cs="Times New Roman"/>
            <w:b w:val="0"/>
            <w:color w:val="auto"/>
            <w:sz w:val="16"/>
            <w:szCs w:val="16"/>
          </w:rPr>
          <w:t>http://terkepcentrum.hu/index.asp?go=mapeu&amp;rid=1&amp;pid=0&amp;sx=520&amp;sy=520&amp;lx=0&amp;ly=0&amp;nz=2.50&amp;cx=19.208000&amp;cy=47.718666&amp;z=468.750000&amp;p.x=239&amp;p.y=210&amp;wgsy1=&amp;wgsy2=&amp;wgsx1=&amp;wgsx2</w:t>
        </w:r>
      </w:hyperlink>
      <w:r w:rsidRPr="00B4592E">
        <w:rPr>
          <w:rFonts w:cs="Times New Roman"/>
          <w:b w:val="0"/>
          <w:color w:val="auto"/>
          <w:sz w:val="16"/>
          <w:szCs w:val="16"/>
        </w:rPr>
        <w:t>=)</w:t>
      </w:r>
      <w:bookmarkEnd w:id="14"/>
      <w:bookmarkEnd w:id="15"/>
      <w:bookmarkEnd w:id="16"/>
      <w:bookmarkEnd w:id="17"/>
      <w:bookmarkEnd w:id="18"/>
    </w:p>
    <w:p w:rsidR="00B4592E" w:rsidRDefault="00B4592E" w:rsidP="00B4592E">
      <w:pPr>
        <w:pStyle w:val="Kpalrs"/>
        <w:jc w:val="center"/>
        <w:rPr>
          <w:rFonts w:cs="Times New Roman"/>
          <w:color w:val="auto"/>
          <w:sz w:val="24"/>
          <w:szCs w:val="24"/>
        </w:rPr>
      </w:pPr>
    </w:p>
    <w:p w:rsidR="00B4592E" w:rsidRPr="000359DD" w:rsidRDefault="00B4592E" w:rsidP="00B4592E">
      <w:pPr>
        <w:pStyle w:val="Kpalrs"/>
        <w:jc w:val="center"/>
        <w:rPr>
          <w:rFonts w:cs="Times New Roman"/>
          <w:color w:val="auto"/>
          <w:sz w:val="24"/>
          <w:szCs w:val="24"/>
        </w:rPr>
      </w:pPr>
      <w:r>
        <w:rPr>
          <w:rFonts w:cs="Times New Roman"/>
          <w:color w:val="auto"/>
          <w:sz w:val="24"/>
          <w:szCs w:val="24"/>
        </w:rPr>
        <w:t>2</w:t>
      </w:r>
      <w:r w:rsidRPr="000359DD">
        <w:rPr>
          <w:rFonts w:cs="Times New Roman"/>
          <w:color w:val="auto"/>
          <w:sz w:val="24"/>
          <w:szCs w:val="24"/>
        </w:rPr>
        <w:t>. kép DIPO OLAP lekérdező felület</w:t>
      </w:r>
    </w:p>
    <w:p w:rsidR="00135CEC" w:rsidRDefault="00095635" w:rsidP="00B4592E">
      <w:pPr>
        <w:spacing w:line="240" w:lineRule="auto"/>
        <w:jc w:val="center"/>
        <w:rPr>
          <w:rFonts w:cs="Times New Roman"/>
          <w:sz w:val="24"/>
          <w:szCs w:val="24"/>
        </w:rPr>
      </w:pPr>
      <w:r>
        <w:rPr>
          <w:rFonts w:cs="Times New Roman"/>
          <w:noProof/>
          <w:sz w:val="24"/>
          <w:szCs w:val="24"/>
          <w:lang w:val="en-US"/>
        </w:rPr>
        <w:drawing>
          <wp:inline distT="0" distB="0" distL="0" distR="0">
            <wp:extent cx="4976694" cy="4096987"/>
            <wp:effectExtent l="19050" t="0" r="0" b="0"/>
            <wp:docPr id="1" name="Kép 0" descr="Névte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évtelen.jpg"/>
                    <pic:cNvPicPr/>
                  </pic:nvPicPr>
                  <pic:blipFill>
                    <a:blip r:embed="rId22"/>
                    <a:stretch>
                      <a:fillRect/>
                    </a:stretch>
                  </pic:blipFill>
                  <pic:spPr>
                    <a:xfrm>
                      <a:off x="0" y="0"/>
                      <a:ext cx="4986844" cy="4105343"/>
                    </a:xfrm>
                    <a:prstGeom prst="rect">
                      <a:avLst/>
                    </a:prstGeom>
                  </pic:spPr>
                </pic:pic>
              </a:graphicData>
            </a:graphic>
          </wp:inline>
        </w:drawing>
      </w:r>
    </w:p>
    <w:p w:rsidR="00B72AD3" w:rsidRDefault="00B4592E" w:rsidP="00B4592E">
      <w:pPr>
        <w:pStyle w:val="Kpalrs"/>
        <w:ind w:left="567"/>
        <w:rPr>
          <w:rFonts w:cs="Times New Roman"/>
          <w:b w:val="0"/>
          <w:color w:val="auto"/>
          <w:sz w:val="16"/>
          <w:szCs w:val="16"/>
        </w:rPr>
      </w:pPr>
      <w:bookmarkStart w:id="19" w:name="_Toc240622146"/>
      <w:bookmarkStart w:id="20" w:name="_Toc240697578"/>
      <w:bookmarkStart w:id="21" w:name="_Toc241767388"/>
      <w:bookmarkStart w:id="22" w:name="_Toc241835448"/>
      <w:bookmarkStart w:id="23" w:name="_Toc241996300"/>
      <w:r w:rsidRPr="00B4592E">
        <w:rPr>
          <w:rFonts w:cs="Times New Roman"/>
          <w:b w:val="0"/>
          <w:color w:val="auto"/>
          <w:sz w:val="16"/>
          <w:szCs w:val="16"/>
        </w:rPr>
        <w:t>(</w:t>
      </w:r>
      <w:hyperlink r:id="rId23" w:history="1">
        <w:r w:rsidRPr="007E4027">
          <w:rPr>
            <w:rStyle w:val="Hiperhivatkozs"/>
            <w:rFonts w:cs="Times New Roman"/>
            <w:b w:val="0"/>
            <w:sz w:val="16"/>
            <w:szCs w:val="16"/>
          </w:rPr>
          <w:t>http://miau.gau.hu/dipo</w:t>
        </w:r>
      </w:hyperlink>
      <w:r w:rsidR="00B72AD3" w:rsidRPr="00B4592E">
        <w:rPr>
          <w:rFonts w:cs="Times New Roman"/>
          <w:b w:val="0"/>
          <w:color w:val="auto"/>
          <w:sz w:val="16"/>
          <w:szCs w:val="16"/>
        </w:rPr>
        <w:t>)</w:t>
      </w:r>
      <w:bookmarkEnd w:id="19"/>
      <w:bookmarkEnd w:id="20"/>
      <w:bookmarkEnd w:id="21"/>
      <w:bookmarkEnd w:id="22"/>
      <w:bookmarkEnd w:id="23"/>
    </w:p>
    <w:p w:rsidR="00BB6A04" w:rsidRDefault="00BB6A04" w:rsidP="00BB6A04"/>
    <w:p w:rsidR="00BB6A04" w:rsidRPr="000359DD" w:rsidRDefault="00BB6A04" w:rsidP="00BB6A04">
      <w:pPr>
        <w:pStyle w:val="Kpalrs"/>
        <w:keepNext/>
        <w:jc w:val="center"/>
        <w:rPr>
          <w:rFonts w:cs="Times New Roman"/>
          <w:color w:val="auto"/>
          <w:sz w:val="24"/>
          <w:szCs w:val="24"/>
        </w:rPr>
      </w:pPr>
      <w:r>
        <w:rPr>
          <w:rFonts w:cs="Times New Roman"/>
          <w:color w:val="auto"/>
          <w:sz w:val="24"/>
          <w:szCs w:val="24"/>
        </w:rPr>
        <w:lastRenderedPageBreak/>
        <w:t>3</w:t>
      </w:r>
      <w:r w:rsidRPr="000359DD">
        <w:rPr>
          <w:rFonts w:cs="Times New Roman"/>
          <w:color w:val="auto"/>
          <w:sz w:val="24"/>
          <w:szCs w:val="24"/>
        </w:rPr>
        <w:t>. kép A 2000-es évi Bánkon történt halálozások számának lekérdezése a TEIR-ből</w:t>
      </w:r>
    </w:p>
    <w:p w:rsidR="00135CEC" w:rsidRDefault="00B72AD3" w:rsidP="00B4592E">
      <w:pPr>
        <w:spacing w:line="240" w:lineRule="auto"/>
        <w:jc w:val="center"/>
        <w:rPr>
          <w:rFonts w:cs="Times New Roman"/>
          <w:sz w:val="24"/>
          <w:szCs w:val="24"/>
        </w:rPr>
      </w:pPr>
      <w:r w:rsidRPr="00B72AD3">
        <w:rPr>
          <w:rFonts w:cs="Times New Roman"/>
          <w:noProof/>
          <w:sz w:val="24"/>
          <w:szCs w:val="24"/>
          <w:lang w:val="en-US"/>
        </w:rPr>
        <w:drawing>
          <wp:inline distT="0" distB="0" distL="0" distR="0">
            <wp:extent cx="5155576" cy="4036382"/>
            <wp:effectExtent l="19050" t="0" r="6974" b="0"/>
            <wp:docPr id="31" name="Kép 18" descr="te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ir.jpg"/>
                    <pic:cNvPicPr/>
                  </pic:nvPicPr>
                  <pic:blipFill>
                    <a:blip r:embed="rId24" cstate="print"/>
                    <a:stretch>
                      <a:fillRect/>
                    </a:stretch>
                  </pic:blipFill>
                  <pic:spPr>
                    <a:xfrm>
                      <a:off x="0" y="0"/>
                      <a:ext cx="5174452" cy="4051160"/>
                    </a:xfrm>
                    <a:prstGeom prst="rect">
                      <a:avLst/>
                    </a:prstGeom>
                  </pic:spPr>
                </pic:pic>
              </a:graphicData>
            </a:graphic>
          </wp:inline>
        </w:drawing>
      </w:r>
    </w:p>
    <w:p w:rsidR="00B72AD3" w:rsidRDefault="00B4592E" w:rsidP="00BB6A04">
      <w:pPr>
        <w:pStyle w:val="Kpalrs"/>
        <w:spacing w:before="120" w:after="120"/>
        <w:rPr>
          <w:rFonts w:cs="Times New Roman"/>
          <w:b w:val="0"/>
          <w:color w:val="auto"/>
          <w:sz w:val="16"/>
          <w:szCs w:val="16"/>
        </w:rPr>
      </w:pPr>
      <w:bookmarkStart w:id="24" w:name="_Toc241835451"/>
      <w:bookmarkStart w:id="25" w:name="_Toc241996306"/>
      <w:r>
        <w:rPr>
          <w:rFonts w:cs="Times New Roman"/>
          <w:b w:val="0"/>
          <w:color w:val="auto"/>
          <w:sz w:val="16"/>
          <w:szCs w:val="16"/>
        </w:rPr>
        <w:t>(</w:t>
      </w:r>
      <w:r w:rsidR="00B72AD3" w:rsidRPr="00B4592E">
        <w:rPr>
          <w:rFonts w:cs="Times New Roman"/>
          <w:b w:val="0"/>
          <w:color w:val="auto"/>
          <w:sz w:val="16"/>
          <w:szCs w:val="16"/>
        </w:rPr>
        <w:t xml:space="preserve"> </w:t>
      </w:r>
      <w:hyperlink r:id="rId25" w:history="1">
        <w:r w:rsidRPr="007E4027">
          <w:rPr>
            <w:rStyle w:val="Hiperhivatkozs"/>
            <w:rFonts w:cs="Times New Roman"/>
            <w:b w:val="0"/>
            <w:sz w:val="16"/>
            <w:szCs w:val="16"/>
          </w:rPr>
          <w:t>https://teir.vati.hu/rqdist/main?rq_app=meta&amp;rq_proc=strfr&amp;dbid=1&amp;ev=2000</w:t>
        </w:r>
      </w:hyperlink>
      <w:r w:rsidR="00B72AD3" w:rsidRPr="00B4592E">
        <w:rPr>
          <w:rFonts w:cs="Times New Roman"/>
          <w:b w:val="0"/>
          <w:color w:val="auto"/>
          <w:sz w:val="16"/>
          <w:szCs w:val="16"/>
        </w:rPr>
        <w:t>)</w:t>
      </w:r>
      <w:bookmarkEnd w:id="24"/>
      <w:bookmarkEnd w:id="25"/>
    </w:p>
    <w:p w:rsidR="00BB6A04" w:rsidRPr="000359DD" w:rsidRDefault="00BB6A04" w:rsidP="00BB6A04">
      <w:pPr>
        <w:pStyle w:val="Kpalrs"/>
        <w:keepNext/>
        <w:jc w:val="center"/>
        <w:rPr>
          <w:rFonts w:cs="Times New Roman"/>
          <w:color w:val="auto"/>
          <w:sz w:val="24"/>
          <w:szCs w:val="24"/>
        </w:rPr>
      </w:pPr>
      <w:r w:rsidRPr="000359DD">
        <w:rPr>
          <w:rFonts w:cs="Times New Roman"/>
          <w:color w:val="auto"/>
          <w:sz w:val="24"/>
          <w:szCs w:val="24"/>
        </w:rPr>
        <w:fldChar w:fldCharType="begin"/>
      </w:r>
      <w:r w:rsidRPr="000359DD">
        <w:rPr>
          <w:rFonts w:cs="Times New Roman"/>
          <w:color w:val="auto"/>
          <w:sz w:val="24"/>
          <w:szCs w:val="24"/>
        </w:rPr>
        <w:instrText xml:space="preserve"> SEQ táblázat \* ARABIC </w:instrText>
      </w:r>
      <w:r w:rsidRPr="000359DD">
        <w:rPr>
          <w:rFonts w:cs="Times New Roman"/>
          <w:color w:val="auto"/>
          <w:sz w:val="24"/>
          <w:szCs w:val="24"/>
        </w:rPr>
        <w:fldChar w:fldCharType="separate"/>
      </w:r>
      <w:r w:rsidRPr="000359DD">
        <w:rPr>
          <w:rFonts w:cs="Times New Roman"/>
          <w:noProof/>
          <w:color w:val="auto"/>
          <w:sz w:val="24"/>
          <w:szCs w:val="24"/>
        </w:rPr>
        <w:t>1</w:t>
      </w:r>
      <w:r w:rsidRPr="000359DD">
        <w:rPr>
          <w:rFonts w:cs="Times New Roman"/>
          <w:color w:val="auto"/>
          <w:sz w:val="24"/>
          <w:szCs w:val="24"/>
        </w:rPr>
        <w:fldChar w:fldCharType="end"/>
      </w:r>
      <w:r w:rsidRPr="000359DD">
        <w:rPr>
          <w:rFonts w:cs="Times New Roman"/>
          <w:color w:val="auto"/>
          <w:sz w:val="24"/>
          <w:szCs w:val="24"/>
        </w:rPr>
        <w:t>. táblázat 2000-ben történt halálozások száma a DIPO településein,</w:t>
      </w:r>
      <w:r>
        <w:rPr>
          <w:rFonts w:cs="Times New Roman"/>
          <w:color w:val="auto"/>
          <w:sz w:val="24"/>
          <w:szCs w:val="24"/>
        </w:rPr>
        <w:t xml:space="preserve"> </w:t>
      </w:r>
      <w:r w:rsidRPr="000359DD">
        <w:rPr>
          <w:rFonts w:cs="Times New Roman"/>
          <w:color w:val="auto"/>
          <w:sz w:val="24"/>
          <w:szCs w:val="24"/>
        </w:rPr>
        <w:t>DIPO OLAP lekérdezés alapján</w:t>
      </w:r>
    </w:p>
    <w:p w:rsidR="00B72AD3" w:rsidRDefault="00B72AD3" w:rsidP="00B4592E">
      <w:pPr>
        <w:spacing w:line="240" w:lineRule="auto"/>
        <w:jc w:val="center"/>
        <w:rPr>
          <w:rFonts w:cs="Times New Roman"/>
          <w:sz w:val="24"/>
          <w:szCs w:val="24"/>
        </w:rPr>
      </w:pPr>
      <w:r w:rsidRPr="00B72AD3">
        <w:rPr>
          <w:rFonts w:cs="Times New Roman"/>
          <w:noProof/>
          <w:sz w:val="24"/>
          <w:szCs w:val="24"/>
          <w:lang w:val="en-US"/>
        </w:rPr>
        <w:drawing>
          <wp:inline distT="0" distB="0" distL="0" distR="0">
            <wp:extent cx="3334445" cy="3819454"/>
            <wp:effectExtent l="19050" t="0" r="0" b="0"/>
            <wp:docPr id="32" name="Kép 22" descr="ol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ap.jpg"/>
                    <pic:cNvPicPr/>
                  </pic:nvPicPr>
                  <pic:blipFill>
                    <a:blip r:embed="rId26" cstate="print"/>
                    <a:stretch>
                      <a:fillRect/>
                    </a:stretch>
                  </pic:blipFill>
                  <pic:spPr>
                    <a:xfrm>
                      <a:off x="0" y="0"/>
                      <a:ext cx="3333480" cy="3818349"/>
                    </a:xfrm>
                    <a:prstGeom prst="rect">
                      <a:avLst/>
                    </a:prstGeom>
                  </pic:spPr>
                </pic:pic>
              </a:graphicData>
            </a:graphic>
          </wp:inline>
        </w:drawing>
      </w:r>
    </w:p>
    <w:p w:rsidR="00B72AD3" w:rsidRDefault="00B4592E" w:rsidP="00B4592E">
      <w:pPr>
        <w:pStyle w:val="Kpalrs"/>
        <w:spacing w:before="120"/>
        <w:jc w:val="center"/>
        <w:rPr>
          <w:rFonts w:cs="Times New Roman"/>
          <w:b w:val="0"/>
          <w:color w:val="auto"/>
          <w:sz w:val="16"/>
          <w:szCs w:val="16"/>
        </w:rPr>
      </w:pPr>
      <w:bookmarkStart w:id="26" w:name="_Toc241835362"/>
      <w:bookmarkStart w:id="27" w:name="_Toc241835452"/>
      <w:bookmarkStart w:id="28" w:name="_Toc241996308"/>
      <w:r w:rsidRPr="00B4592E">
        <w:rPr>
          <w:rFonts w:cs="Times New Roman"/>
          <w:b w:val="0"/>
          <w:color w:val="auto"/>
          <w:sz w:val="16"/>
          <w:szCs w:val="16"/>
        </w:rPr>
        <w:t>(</w:t>
      </w:r>
      <w:hyperlink r:id="rId27" w:history="1">
        <w:r w:rsidR="00BB6A04" w:rsidRPr="007E4027">
          <w:rPr>
            <w:rStyle w:val="Hiperhivatkozs"/>
            <w:rFonts w:cs="Times New Roman"/>
            <w:b w:val="0"/>
            <w:sz w:val="16"/>
            <w:szCs w:val="16"/>
          </w:rPr>
          <w:t>http://miau.gau.hu/myx-free/olap/olap2b/dbackground.php?olap_id=Sr9Mw38AAQEAAA@zHMMAAAAE&amp;s=1&amp;o=1</w:t>
        </w:r>
      </w:hyperlink>
      <w:r w:rsidR="00B72AD3" w:rsidRPr="00B4592E">
        <w:rPr>
          <w:rFonts w:cs="Times New Roman"/>
          <w:b w:val="0"/>
          <w:color w:val="auto"/>
          <w:sz w:val="16"/>
          <w:szCs w:val="16"/>
        </w:rPr>
        <w:t>)</w:t>
      </w:r>
      <w:bookmarkEnd w:id="26"/>
      <w:bookmarkEnd w:id="27"/>
      <w:bookmarkEnd w:id="28"/>
    </w:p>
    <w:p w:rsidR="00BB6A04" w:rsidRPr="000359DD" w:rsidRDefault="00BB6A04" w:rsidP="00BB6A04">
      <w:pPr>
        <w:pStyle w:val="Kpalrs"/>
        <w:keepNext/>
        <w:jc w:val="center"/>
        <w:rPr>
          <w:rFonts w:cs="Times New Roman"/>
          <w:color w:val="auto"/>
          <w:sz w:val="24"/>
          <w:szCs w:val="24"/>
        </w:rPr>
      </w:pPr>
      <w:r w:rsidRPr="000359DD">
        <w:rPr>
          <w:rFonts w:cs="Times New Roman"/>
          <w:color w:val="auto"/>
          <w:sz w:val="24"/>
          <w:szCs w:val="24"/>
        </w:rPr>
        <w:lastRenderedPageBreak/>
        <w:fldChar w:fldCharType="begin"/>
      </w:r>
      <w:r w:rsidRPr="000359DD">
        <w:rPr>
          <w:rFonts w:cs="Times New Roman"/>
          <w:color w:val="auto"/>
          <w:sz w:val="24"/>
          <w:szCs w:val="24"/>
        </w:rPr>
        <w:instrText xml:space="preserve"> SEQ ábra \* ARABIC </w:instrText>
      </w:r>
      <w:r w:rsidRPr="000359DD">
        <w:rPr>
          <w:rFonts w:cs="Times New Roman"/>
          <w:color w:val="auto"/>
          <w:sz w:val="24"/>
          <w:szCs w:val="24"/>
        </w:rPr>
        <w:fldChar w:fldCharType="separate"/>
      </w:r>
      <w:r w:rsidRPr="000359DD">
        <w:rPr>
          <w:rFonts w:cs="Times New Roman"/>
          <w:noProof/>
          <w:color w:val="auto"/>
          <w:sz w:val="24"/>
          <w:szCs w:val="24"/>
        </w:rPr>
        <w:t>1</w:t>
      </w:r>
      <w:r w:rsidRPr="000359DD">
        <w:rPr>
          <w:rFonts w:cs="Times New Roman"/>
          <w:color w:val="auto"/>
          <w:sz w:val="24"/>
          <w:szCs w:val="24"/>
        </w:rPr>
        <w:fldChar w:fldCharType="end"/>
      </w:r>
      <w:r w:rsidRPr="000359DD">
        <w:rPr>
          <w:rFonts w:cs="Times New Roman"/>
          <w:color w:val="auto"/>
          <w:sz w:val="24"/>
          <w:szCs w:val="24"/>
        </w:rPr>
        <w:t>. ábra A külföldiek által eltöltött vendégéjszakák száma a kereskedelmi szálláshelyeken a DIPO területén 2000-2007)</w:t>
      </w:r>
    </w:p>
    <w:p w:rsidR="00B72AD3" w:rsidRPr="000359DD" w:rsidRDefault="00B72AD3" w:rsidP="00B4592E">
      <w:pPr>
        <w:keepNext/>
        <w:spacing w:line="240" w:lineRule="auto"/>
        <w:jc w:val="center"/>
        <w:rPr>
          <w:rFonts w:cs="Times New Roman"/>
          <w:sz w:val="24"/>
          <w:szCs w:val="24"/>
        </w:rPr>
      </w:pPr>
      <w:r w:rsidRPr="000359DD">
        <w:rPr>
          <w:rFonts w:cs="Times New Roman"/>
          <w:noProof/>
          <w:sz w:val="24"/>
          <w:szCs w:val="24"/>
          <w:lang w:val="en-US"/>
        </w:rPr>
        <w:drawing>
          <wp:inline distT="0" distB="0" distL="0" distR="0">
            <wp:extent cx="5241719" cy="2588820"/>
            <wp:effectExtent l="19050" t="0" r="16081" b="1980"/>
            <wp:docPr id="3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72AD3" w:rsidRDefault="00B72AD3" w:rsidP="009F231E">
      <w:pPr>
        <w:pStyle w:val="Kpalrs"/>
        <w:spacing w:before="120"/>
        <w:rPr>
          <w:rFonts w:cs="Times New Roman"/>
          <w:b w:val="0"/>
          <w:color w:val="auto"/>
          <w:sz w:val="16"/>
          <w:szCs w:val="16"/>
        </w:rPr>
      </w:pPr>
      <w:bookmarkStart w:id="29" w:name="_Toc241996310"/>
      <w:bookmarkStart w:id="30" w:name="_Toc241835453"/>
      <w:r w:rsidRPr="00B4592E">
        <w:rPr>
          <w:rFonts w:cs="Times New Roman"/>
          <w:b w:val="0"/>
          <w:color w:val="auto"/>
          <w:sz w:val="16"/>
          <w:szCs w:val="16"/>
        </w:rPr>
        <w:t>(</w:t>
      </w:r>
      <w:hyperlink r:id="rId29" w:history="1">
        <w:r w:rsidRPr="00B4592E">
          <w:rPr>
            <w:rStyle w:val="Hiperhivatkozs"/>
            <w:rFonts w:cs="Times New Roman"/>
            <w:b w:val="0"/>
            <w:color w:val="auto"/>
            <w:sz w:val="16"/>
            <w:szCs w:val="16"/>
          </w:rPr>
          <w:t>http://miau.gau.hu/miau/131/reszjelentes_2/interpretaciok/7-retegu elemzes.xlsx</w:t>
        </w:r>
      </w:hyperlink>
      <w:r w:rsidRPr="00B4592E">
        <w:rPr>
          <w:rFonts w:cs="Times New Roman"/>
          <w:b w:val="0"/>
          <w:color w:val="auto"/>
          <w:sz w:val="16"/>
          <w:szCs w:val="16"/>
        </w:rPr>
        <w:t>, 2009)</w:t>
      </w:r>
      <w:bookmarkEnd w:id="29"/>
      <w:bookmarkEnd w:id="30"/>
    </w:p>
    <w:p w:rsidR="00BB6A04" w:rsidRPr="000359DD" w:rsidRDefault="00BB6A04" w:rsidP="00BB6A04">
      <w:pPr>
        <w:pStyle w:val="Kpalrs"/>
        <w:keepNext/>
        <w:spacing w:before="240"/>
        <w:jc w:val="center"/>
        <w:rPr>
          <w:rFonts w:cs="Times New Roman"/>
          <w:color w:val="auto"/>
          <w:sz w:val="24"/>
          <w:szCs w:val="24"/>
        </w:rPr>
      </w:pPr>
      <w:r w:rsidRPr="000359DD">
        <w:rPr>
          <w:rFonts w:cs="Times New Roman"/>
          <w:color w:val="auto"/>
          <w:sz w:val="24"/>
          <w:szCs w:val="24"/>
        </w:rPr>
        <w:fldChar w:fldCharType="begin"/>
      </w:r>
      <w:r w:rsidRPr="000359DD">
        <w:rPr>
          <w:rFonts w:cs="Times New Roman"/>
          <w:color w:val="auto"/>
          <w:sz w:val="24"/>
          <w:szCs w:val="24"/>
        </w:rPr>
        <w:instrText xml:space="preserve"> SEQ ábra \* ARABIC </w:instrText>
      </w:r>
      <w:r w:rsidRPr="000359DD">
        <w:rPr>
          <w:rFonts w:cs="Times New Roman"/>
          <w:color w:val="auto"/>
          <w:sz w:val="24"/>
          <w:szCs w:val="24"/>
        </w:rPr>
        <w:fldChar w:fldCharType="separate"/>
      </w:r>
      <w:r w:rsidRPr="000359DD">
        <w:rPr>
          <w:rFonts w:cs="Times New Roman"/>
          <w:noProof/>
          <w:color w:val="auto"/>
          <w:sz w:val="24"/>
          <w:szCs w:val="24"/>
        </w:rPr>
        <w:t>2</w:t>
      </w:r>
      <w:r w:rsidRPr="000359DD">
        <w:rPr>
          <w:rFonts w:cs="Times New Roman"/>
          <w:color w:val="auto"/>
          <w:sz w:val="24"/>
          <w:szCs w:val="24"/>
        </w:rPr>
        <w:fldChar w:fldCharType="end"/>
      </w:r>
      <w:r w:rsidRPr="000359DD">
        <w:rPr>
          <w:rFonts w:cs="Times New Roman"/>
          <w:color w:val="auto"/>
          <w:sz w:val="24"/>
          <w:szCs w:val="24"/>
        </w:rPr>
        <w:t>. ábra A külföldiek által eltöltött vendégéjszakák száma a kempingekben</w:t>
      </w:r>
      <w:r>
        <w:rPr>
          <w:rFonts w:cs="Times New Roman"/>
          <w:color w:val="auto"/>
          <w:sz w:val="24"/>
          <w:szCs w:val="24"/>
        </w:rPr>
        <w:t xml:space="preserve"> </w:t>
      </w:r>
      <w:r w:rsidRPr="000359DD">
        <w:rPr>
          <w:rFonts w:cs="Times New Roman"/>
          <w:color w:val="auto"/>
          <w:sz w:val="24"/>
          <w:szCs w:val="24"/>
        </w:rPr>
        <w:t>a DIPO területén</w:t>
      </w:r>
    </w:p>
    <w:p w:rsidR="00B72AD3" w:rsidRPr="000359DD" w:rsidRDefault="00B72AD3" w:rsidP="00B4592E">
      <w:pPr>
        <w:keepNext/>
        <w:spacing w:line="240" w:lineRule="auto"/>
        <w:jc w:val="center"/>
        <w:rPr>
          <w:rFonts w:cs="Times New Roman"/>
          <w:sz w:val="24"/>
          <w:szCs w:val="24"/>
        </w:rPr>
      </w:pPr>
      <w:r w:rsidRPr="000359DD">
        <w:rPr>
          <w:rFonts w:cs="Times New Roman"/>
          <w:noProof/>
          <w:sz w:val="24"/>
          <w:szCs w:val="24"/>
          <w:lang w:val="en-US"/>
        </w:rPr>
        <w:drawing>
          <wp:inline distT="0" distB="0" distL="0" distR="0">
            <wp:extent cx="5289221" cy="2719449"/>
            <wp:effectExtent l="19050" t="0" r="25729" b="4701"/>
            <wp:docPr id="3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72AD3" w:rsidRDefault="009F231E" w:rsidP="00BB6A04">
      <w:pPr>
        <w:pStyle w:val="Kpalrs"/>
        <w:spacing w:before="120"/>
        <w:rPr>
          <w:rFonts w:cs="Times New Roman"/>
          <w:b w:val="0"/>
          <w:color w:val="auto"/>
          <w:sz w:val="16"/>
          <w:szCs w:val="16"/>
        </w:rPr>
      </w:pPr>
      <w:bookmarkStart w:id="31" w:name="_Toc241996312"/>
      <w:r>
        <w:rPr>
          <w:b w:val="0"/>
          <w:sz w:val="16"/>
          <w:szCs w:val="16"/>
        </w:rPr>
        <w:t>(</w:t>
      </w:r>
      <w:hyperlink r:id="rId31" w:history="1">
        <w:r w:rsidR="00B72AD3" w:rsidRPr="009F231E">
          <w:rPr>
            <w:rStyle w:val="Hiperhivatkozs"/>
            <w:rFonts w:cs="Times New Roman"/>
            <w:b w:val="0"/>
            <w:color w:val="auto"/>
            <w:sz w:val="16"/>
            <w:szCs w:val="16"/>
          </w:rPr>
          <w:t>http://miau.gau.hu/miau/131/reszjelentes_2/interpretaciok/7-retegu elemzes.xlsx</w:t>
        </w:r>
      </w:hyperlink>
      <w:r w:rsidR="00B72AD3" w:rsidRPr="009F231E">
        <w:rPr>
          <w:rFonts w:cs="Times New Roman"/>
          <w:b w:val="0"/>
          <w:color w:val="auto"/>
          <w:sz w:val="16"/>
          <w:szCs w:val="16"/>
        </w:rPr>
        <w:t>, 2009)</w:t>
      </w:r>
      <w:bookmarkEnd w:id="31"/>
    </w:p>
    <w:p w:rsidR="00484B9E" w:rsidRPr="000359DD" w:rsidRDefault="00484B9E" w:rsidP="00484B9E">
      <w:pPr>
        <w:pStyle w:val="Kpalrs"/>
        <w:keepNext/>
        <w:jc w:val="center"/>
        <w:rPr>
          <w:rFonts w:cs="Times New Roman"/>
          <w:color w:val="auto"/>
          <w:sz w:val="24"/>
          <w:szCs w:val="24"/>
        </w:rPr>
      </w:pPr>
      <w:r>
        <w:rPr>
          <w:rFonts w:cs="Times New Roman"/>
          <w:color w:val="auto"/>
          <w:sz w:val="24"/>
          <w:szCs w:val="24"/>
        </w:rPr>
        <w:lastRenderedPageBreak/>
        <w:t>4</w:t>
      </w:r>
      <w:r w:rsidRPr="000359DD">
        <w:rPr>
          <w:rFonts w:cs="Times New Roman"/>
          <w:color w:val="auto"/>
          <w:sz w:val="24"/>
          <w:szCs w:val="24"/>
        </w:rPr>
        <w:t>. kép A HVS által megfogalmazott HPME (28/28) a DIPO-ra vonatkozóan</w:t>
      </w:r>
    </w:p>
    <w:p w:rsidR="00B72AD3" w:rsidRPr="000359DD" w:rsidRDefault="00B72AD3" w:rsidP="00B4592E">
      <w:pPr>
        <w:keepNext/>
        <w:spacing w:line="240" w:lineRule="auto"/>
        <w:jc w:val="center"/>
        <w:rPr>
          <w:rFonts w:cs="Times New Roman"/>
          <w:sz w:val="24"/>
          <w:szCs w:val="24"/>
        </w:rPr>
      </w:pPr>
      <w:r w:rsidRPr="000359DD">
        <w:rPr>
          <w:rFonts w:cs="Times New Roman"/>
          <w:noProof/>
          <w:sz w:val="24"/>
          <w:szCs w:val="24"/>
          <w:lang w:val="en-US"/>
        </w:rPr>
        <w:drawing>
          <wp:inline distT="0" distB="0" distL="0" distR="0">
            <wp:extent cx="5256810" cy="3942607"/>
            <wp:effectExtent l="19050" t="0" r="990" b="0"/>
            <wp:docPr id="36" name="Kép 11" descr="hv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vs1.jpg"/>
                    <pic:cNvPicPr/>
                  </pic:nvPicPr>
                  <pic:blipFill>
                    <a:blip r:embed="rId32" cstate="print"/>
                    <a:stretch>
                      <a:fillRect/>
                    </a:stretch>
                  </pic:blipFill>
                  <pic:spPr>
                    <a:xfrm>
                      <a:off x="0" y="0"/>
                      <a:ext cx="5271008" cy="3953256"/>
                    </a:xfrm>
                    <a:prstGeom prst="rect">
                      <a:avLst/>
                    </a:prstGeom>
                  </pic:spPr>
                </pic:pic>
              </a:graphicData>
            </a:graphic>
          </wp:inline>
        </w:drawing>
      </w:r>
    </w:p>
    <w:p w:rsidR="00B72AD3" w:rsidRPr="009F231E" w:rsidRDefault="009F231E" w:rsidP="00B4592E">
      <w:pPr>
        <w:pStyle w:val="Kpalrs"/>
        <w:rPr>
          <w:rFonts w:cs="Times New Roman"/>
          <w:b w:val="0"/>
          <w:color w:val="auto"/>
          <w:sz w:val="16"/>
          <w:szCs w:val="16"/>
        </w:rPr>
      </w:pPr>
      <w:bookmarkStart w:id="32" w:name="_Toc240622151"/>
      <w:bookmarkStart w:id="33" w:name="_Toc240697583"/>
      <w:bookmarkStart w:id="34" w:name="_Toc241767393"/>
      <w:bookmarkStart w:id="35" w:name="_Toc241835455"/>
      <w:bookmarkStart w:id="36" w:name="_Toc241996314"/>
      <w:r w:rsidRPr="009F231E">
        <w:rPr>
          <w:rFonts w:cs="Times New Roman"/>
          <w:b w:val="0"/>
          <w:color w:val="auto"/>
          <w:sz w:val="16"/>
          <w:szCs w:val="16"/>
        </w:rPr>
        <w:t>(</w:t>
      </w:r>
      <w:r w:rsidR="00B72AD3" w:rsidRPr="009F231E">
        <w:rPr>
          <w:rFonts w:cs="Times New Roman"/>
          <w:b w:val="0"/>
          <w:color w:val="auto"/>
          <w:sz w:val="16"/>
          <w:szCs w:val="16"/>
        </w:rPr>
        <w:t>http://miau.gau.hu/miau/131/dipo_hvs.ppt</w:t>
      </w:r>
      <w:r w:rsidR="00B72AD3" w:rsidRPr="009F231E">
        <w:rPr>
          <w:rFonts w:cs="Times New Roman"/>
          <w:b w:val="0"/>
          <w:noProof/>
          <w:color w:val="auto"/>
          <w:sz w:val="16"/>
          <w:szCs w:val="16"/>
        </w:rPr>
        <w:t>)</w:t>
      </w:r>
      <w:bookmarkEnd w:id="32"/>
      <w:bookmarkEnd w:id="33"/>
      <w:bookmarkEnd w:id="34"/>
      <w:bookmarkEnd w:id="35"/>
      <w:bookmarkEnd w:id="36"/>
    </w:p>
    <w:p w:rsidR="00B72AD3" w:rsidRPr="000359DD" w:rsidRDefault="00B72AD3" w:rsidP="00B72AD3">
      <w:pPr>
        <w:keepNext/>
        <w:spacing w:line="480" w:lineRule="auto"/>
        <w:jc w:val="center"/>
        <w:rPr>
          <w:rFonts w:cs="Times New Roman"/>
          <w:sz w:val="24"/>
          <w:szCs w:val="24"/>
        </w:rPr>
      </w:pPr>
    </w:p>
    <w:sectPr w:rsidR="00B72AD3" w:rsidRPr="000359DD" w:rsidSect="00783A67">
      <w:pgSz w:w="11899" w:h="16840"/>
      <w:pgMar w:top="1418" w:right="1418" w:bottom="1418" w:left="1701" w:header="709" w:footer="70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31B" w:rsidRDefault="00AF031B" w:rsidP="00AA3160">
      <w:pPr>
        <w:spacing w:line="240" w:lineRule="auto"/>
      </w:pPr>
      <w:r>
        <w:separator/>
      </w:r>
    </w:p>
  </w:endnote>
  <w:endnote w:type="continuationSeparator" w:id="1">
    <w:p w:rsidR="00AF031B" w:rsidRDefault="00AF031B" w:rsidP="00AA31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60485"/>
      <w:docPartObj>
        <w:docPartGallery w:val="Page Numbers (Bottom of Page)"/>
        <w:docPartUnique/>
      </w:docPartObj>
    </w:sdtPr>
    <w:sdtContent>
      <w:p w:rsidR="00443502" w:rsidRDefault="00443502">
        <w:pPr>
          <w:pStyle w:val="llb"/>
          <w:jc w:val="right"/>
        </w:pPr>
        <w:fldSimple w:instr=" PAGE   \* MERGEFORMAT ">
          <w:r>
            <w:rPr>
              <w:noProof/>
            </w:rPr>
            <w:t>6</w:t>
          </w:r>
        </w:fldSimple>
      </w:p>
    </w:sdtContent>
  </w:sdt>
  <w:p w:rsidR="00443502" w:rsidRDefault="00443502">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31B" w:rsidRDefault="00AF031B" w:rsidP="00AA3160">
      <w:pPr>
        <w:spacing w:line="240" w:lineRule="auto"/>
      </w:pPr>
      <w:r>
        <w:separator/>
      </w:r>
    </w:p>
  </w:footnote>
  <w:footnote w:type="continuationSeparator" w:id="1">
    <w:p w:rsidR="00AF031B" w:rsidRDefault="00AF031B" w:rsidP="00AA3160">
      <w:pPr>
        <w:spacing w:line="240" w:lineRule="auto"/>
      </w:pPr>
      <w:r>
        <w:continuationSeparator/>
      </w:r>
    </w:p>
  </w:footnote>
  <w:footnote w:id="2">
    <w:p w:rsidR="007E0D5F" w:rsidRDefault="007E0D5F" w:rsidP="00C04323">
      <w:pPr>
        <w:pStyle w:val="Lbjegyzetszveg"/>
      </w:pPr>
      <w:r>
        <w:rPr>
          <w:rStyle w:val="Lbjegyzet-hivatkozs"/>
        </w:rPr>
        <w:footnoteRef/>
      </w:r>
      <w:r>
        <w:t xml:space="preserve"> Forrás: Innovációs Kutató Központ: </w:t>
      </w:r>
      <w:r w:rsidRPr="00F10FDC">
        <w:t>http://www.uni-corvinus.hu/index.php?id=8532</w:t>
      </w:r>
      <w:r>
        <w:t>)</w:t>
      </w:r>
    </w:p>
  </w:footnote>
  <w:footnote w:id="3">
    <w:p w:rsidR="007E0D5F" w:rsidRPr="00EF7135" w:rsidRDefault="007E0D5F" w:rsidP="00C04323">
      <w:pPr>
        <w:pStyle w:val="Lbjegyzetszveg"/>
      </w:pPr>
      <w:r w:rsidRPr="00095635">
        <w:rPr>
          <w:rStyle w:val="Lbjegyzet-hivatkozs"/>
        </w:rPr>
        <w:footnoteRef/>
      </w:r>
      <w:r w:rsidRPr="00095635">
        <w:t xml:space="preserve"> https://teir.vati.hu/rqdist/main?rq_app=meta&amp;rq_proc=strfr&amp;dbid=1&amp;ev=2007</w:t>
      </w:r>
    </w:p>
  </w:footnote>
  <w:footnote w:id="4">
    <w:p w:rsidR="007E0D5F" w:rsidRDefault="007E0D5F" w:rsidP="00C04323">
      <w:pPr>
        <w:pStyle w:val="Lbjegyzetszveg"/>
      </w:pPr>
      <w:r>
        <w:rPr>
          <w:rStyle w:val="Lbjegyzet-hivatkozs"/>
        </w:rPr>
        <w:footnoteRef/>
      </w:r>
      <w:r>
        <w:t xml:space="preserve"> becslés: a valós értékeknek </w:t>
      </w:r>
      <w:r w:rsidRPr="00F20DB7">
        <w:t>minden fontos és ismert befolyásoló tényező</w:t>
      </w:r>
      <w:r>
        <w:t>jé</w:t>
      </w:r>
      <w:r w:rsidRPr="00F20DB7">
        <w:t xml:space="preserve">t </w:t>
      </w:r>
      <w:r>
        <w:t>tartalmazó mintázataira alapozó</w:t>
      </w:r>
      <w:r w:rsidRPr="00F20DB7">
        <w:t xml:space="preserve"> összevetések</w:t>
      </w:r>
      <w:r>
        <w:t>,</w:t>
      </w:r>
      <w:r w:rsidRPr="00F20DB7">
        <w:t xml:space="preserve"> legkevesebb </w:t>
      </w:r>
      <w:r>
        <w:t>ellentmondást</w:t>
      </w:r>
      <w:r w:rsidRPr="00F20DB7">
        <w:t xml:space="preserve"> mutató alakzata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2291"/>
    <w:multiLevelType w:val="hybridMultilevel"/>
    <w:tmpl w:val="ADEA59C2"/>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9BC2716"/>
    <w:multiLevelType w:val="hybridMultilevel"/>
    <w:tmpl w:val="5D1A3C2C"/>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9C85DDF"/>
    <w:multiLevelType w:val="hybridMultilevel"/>
    <w:tmpl w:val="1A82609E"/>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BE46A12"/>
    <w:multiLevelType w:val="multilevel"/>
    <w:tmpl w:val="040E0025"/>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4">
    <w:nsid w:val="0F6F3BBB"/>
    <w:multiLevelType w:val="hybridMultilevel"/>
    <w:tmpl w:val="6912472C"/>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AEF6D3E"/>
    <w:multiLevelType w:val="hybridMultilevel"/>
    <w:tmpl w:val="7C8A248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20F527B"/>
    <w:multiLevelType w:val="singleLevel"/>
    <w:tmpl w:val="040E000F"/>
    <w:lvl w:ilvl="0">
      <w:start w:val="1"/>
      <w:numFmt w:val="decimal"/>
      <w:lvlText w:val="%1."/>
      <w:lvlJc w:val="left"/>
      <w:pPr>
        <w:tabs>
          <w:tab w:val="num" w:pos="360"/>
        </w:tabs>
        <w:ind w:left="360" w:hanging="360"/>
      </w:pPr>
    </w:lvl>
  </w:abstractNum>
  <w:abstractNum w:abstractNumId="7">
    <w:nsid w:val="23691FDB"/>
    <w:multiLevelType w:val="hybridMultilevel"/>
    <w:tmpl w:val="B76E98BE"/>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4F16466"/>
    <w:multiLevelType w:val="hybridMultilevel"/>
    <w:tmpl w:val="D27A4FBA"/>
    <w:lvl w:ilvl="0" w:tplc="040E000D">
      <w:start w:val="1"/>
      <w:numFmt w:val="bullet"/>
      <w:lvlText w:val=""/>
      <w:lvlJc w:val="left"/>
      <w:pPr>
        <w:ind w:left="720" w:hanging="360"/>
      </w:pPr>
      <w:rPr>
        <w:rFonts w:ascii="Wingdings" w:hAnsi="Wingdings" w:hint="default"/>
      </w:rPr>
    </w:lvl>
    <w:lvl w:ilvl="1" w:tplc="040E000D">
      <w:start w:val="1"/>
      <w:numFmt w:val="bullet"/>
      <w:lvlText w:val=""/>
      <w:lvlJc w:val="left"/>
      <w:pPr>
        <w:ind w:left="1440" w:hanging="360"/>
      </w:pPr>
      <w:rPr>
        <w:rFonts w:ascii="Wingdings" w:hAnsi="Wingdings"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5805622"/>
    <w:multiLevelType w:val="hybridMultilevel"/>
    <w:tmpl w:val="F94ECCE4"/>
    <w:lvl w:ilvl="0" w:tplc="040E000D">
      <w:start w:val="1"/>
      <w:numFmt w:val="bullet"/>
      <w:lvlText w:val=""/>
      <w:lvlJc w:val="left"/>
      <w:pPr>
        <w:ind w:left="720" w:hanging="360"/>
      </w:pPr>
      <w:rPr>
        <w:rFonts w:ascii="Wingdings" w:hAnsi="Wingdings" w:hint="default"/>
      </w:rPr>
    </w:lvl>
    <w:lvl w:ilvl="1" w:tplc="515A73D2">
      <w:start w:val="5"/>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0CE0D41"/>
    <w:multiLevelType w:val="hybridMultilevel"/>
    <w:tmpl w:val="33E2BB5C"/>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2FA4ED3"/>
    <w:multiLevelType w:val="hybridMultilevel"/>
    <w:tmpl w:val="704EDA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72A0F81"/>
    <w:multiLevelType w:val="hybridMultilevel"/>
    <w:tmpl w:val="F17E2BE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F294B26"/>
    <w:multiLevelType w:val="hybridMultilevel"/>
    <w:tmpl w:val="8AA20546"/>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7CE5C82"/>
    <w:multiLevelType w:val="hybridMultilevel"/>
    <w:tmpl w:val="A4305FC4"/>
    <w:lvl w:ilvl="0" w:tplc="040E000D">
      <w:start w:val="1"/>
      <w:numFmt w:val="bullet"/>
      <w:lvlText w:val=""/>
      <w:lvlJc w:val="left"/>
      <w:pPr>
        <w:ind w:left="720" w:hanging="360"/>
      </w:pPr>
      <w:rPr>
        <w:rFonts w:ascii="Wingdings" w:hAnsi="Wingdings" w:hint="default"/>
      </w:rPr>
    </w:lvl>
    <w:lvl w:ilvl="1" w:tplc="515A73D2">
      <w:start w:val="5"/>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E9C7FBB"/>
    <w:multiLevelType w:val="hybridMultilevel"/>
    <w:tmpl w:val="8F18242A"/>
    <w:lvl w:ilvl="0" w:tplc="040E000D">
      <w:start w:val="1"/>
      <w:numFmt w:val="bullet"/>
      <w:lvlText w:val=""/>
      <w:lvlJc w:val="left"/>
      <w:pPr>
        <w:ind w:left="720" w:hanging="360"/>
      </w:pPr>
      <w:rPr>
        <w:rFonts w:ascii="Wingdings" w:hAnsi="Wingdings" w:hint="default"/>
      </w:rPr>
    </w:lvl>
    <w:lvl w:ilvl="1" w:tplc="C0400F4C">
      <w:numFmt w:val="bullet"/>
      <w:lvlText w:val="•"/>
      <w:lvlJc w:val="left"/>
      <w:pPr>
        <w:ind w:left="1785" w:hanging="705"/>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34078C2"/>
    <w:multiLevelType w:val="hybridMultilevel"/>
    <w:tmpl w:val="D652AF60"/>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53B32E8D"/>
    <w:multiLevelType w:val="hybridMultilevel"/>
    <w:tmpl w:val="0C0A425E"/>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7CF7636"/>
    <w:multiLevelType w:val="hybridMultilevel"/>
    <w:tmpl w:val="FB6AC18C"/>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B1F01C8"/>
    <w:multiLevelType w:val="hybridMultilevel"/>
    <w:tmpl w:val="5570F98A"/>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D502252"/>
    <w:multiLevelType w:val="hybridMultilevel"/>
    <w:tmpl w:val="A7CEF980"/>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E040011"/>
    <w:multiLevelType w:val="hybridMultilevel"/>
    <w:tmpl w:val="7506C95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69E66F6B"/>
    <w:multiLevelType w:val="hybridMultilevel"/>
    <w:tmpl w:val="49D841A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6A8E23B5"/>
    <w:multiLevelType w:val="hybridMultilevel"/>
    <w:tmpl w:val="A344F60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B457C75"/>
    <w:multiLevelType w:val="hybridMultilevel"/>
    <w:tmpl w:val="C5F864C4"/>
    <w:lvl w:ilvl="0" w:tplc="040E000D">
      <w:start w:val="1"/>
      <w:numFmt w:val="bullet"/>
      <w:lvlText w:val=""/>
      <w:lvlJc w:val="left"/>
      <w:pPr>
        <w:ind w:left="360" w:hanging="360"/>
      </w:pPr>
      <w:rPr>
        <w:rFonts w:ascii="Wingdings" w:hAnsi="Wingdings" w:hint="default"/>
      </w:rPr>
    </w:lvl>
    <w:lvl w:ilvl="1" w:tplc="040E000D">
      <w:start w:val="1"/>
      <w:numFmt w:val="bullet"/>
      <w:lvlText w:val=""/>
      <w:lvlJc w:val="left"/>
      <w:pPr>
        <w:ind w:left="1080" w:hanging="360"/>
      </w:pPr>
      <w:rPr>
        <w:rFonts w:ascii="Wingdings" w:hAnsi="Wingdings" w:hint="default"/>
      </w:rPr>
    </w:lvl>
    <w:lvl w:ilvl="2" w:tplc="ECD2B6E8">
      <w:start w:val="2008"/>
      <w:numFmt w:val="bullet"/>
      <w:lvlText w:val="-"/>
      <w:lvlJc w:val="left"/>
      <w:pPr>
        <w:ind w:left="1800" w:hanging="360"/>
      </w:pPr>
      <w:rPr>
        <w:rFonts w:ascii="Times New Roman" w:eastAsia="Times New Roman" w:hAnsi="Times New Roman" w:cs="Times New Roman"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5">
    <w:nsid w:val="6D1A40A1"/>
    <w:multiLevelType w:val="hybridMultilevel"/>
    <w:tmpl w:val="B5B4428C"/>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6E5166E7"/>
    <w:multiLevelType w:val="hybridMultilevel"/>
    <w:tmpl w:val="F698C596"/>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6EB44FCA"/>
    <w:multiLevelType w:val="hybridMultilevel"/>
    <w:tmpl w:val="DB828B8C"/>
    <w:lvl w:ilvl="0" w:tplc="040E000D">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765B6515"/>
    <w:multiLevelType w:val="hybridMultilevel"/>
    <w:tmpl w:val="C2B8AD02"/>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7851189B"/>
    <w:multiLevelType w:val="hybridMultilevel"/>
    <w:tmpl w:val="41826A64"/>
    <w:lvl w:ilvl="0" w:tplc="040E000F">
      <w:start w:val="1"/>
      <w:numFmt w:val="decimal"/>
      <w:lvlText w:val="%1."/>
      <w:lvlJc w:val="left"/>
      <w:pPr>
        <w:ind w:left="720" w:hanging="360"/>
      </w:pPr>
    </w:lvl>
    <w:lvl w:ilvl="1" w:tplc="040E000D">
      <w:start w:val="1"/>
      <w:numFmt w:val="bullet"/>
      <w:lvlText w:val=""/>
      <w:lvlJc w:val="left"/>
      <w:pPr>
        <w:ind w:left="1440" w:hanging="360"/>
      </w:pPr>
      <w:rPr>
        <w:rFonts w:ascii="Wingdings" w:hAnsi="Wingding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87E5F38"/>
    <w:multiLevelType w:val="hybridMultilevel"/>
    <w:tmpl w:val="765E91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7CDE1C08"/>
    <w:multiLevelType w:val="hybridMultilevel"/>
    <w:tmpl w:val="DCC03AF0"/>
    <w:lvl w:ilvl="0" w:tplc="515A73D2">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7E263BF7"/>
    <w:multiLevelType w:val="hybridMultilevel"/>
    <w:tmpl w:val="890C0C90"/>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7E5D0A94"/>
    <w:multiLevelType w:val="hybridMultilevel"/>
    <w:tmpl w:val="2B54AC72"/>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7EDB7A04"/>
    <w:multiLevelType w:val="hybridMultilevel"/>
    <w:tmpl w:val="8EE6901E"/>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3"/>
  </w:num>
  <w:num w:numId="2">
    <w:abstractNumId w:val="7"/>
  </w:num>
  <w:num w:numId="3">
    <w:abstractNumId w:val="18"/>
  </w:num>
  <w:num w:numId="4">
    <w:abstractNumId w:val="6"/>
  </w:num>
  <w:num w:numId="5">
    <w:abstractNumId w:val="16"/>
  </w:num>
  <w:num w:numId="6">
    <w:abstractNumId w:val="2"/>
  </w:num>
  <w:num w:numId="7">
    <w:abstractNumId w:val="33"/>
  </w:num>
  <w:num w:numId="8">
    <w:abstractNumId w:val="21"/>
  </w:num>
  <w:num w:numId="9">
    <w:abstractNumId w:val="5"/>
  </w:num>
  <w:num w:numId="10">
    <w:abstractNumId w:val="28"/>
  </w:num>
  <w:num w:numId="11">
    <w:abstractNumId w:val="25"/>
  </w:num>
  <w:num w:numId="12">
    <w:abstractNumId w:val="1"/>
  </w:num>
  <w:num w:numId="13">
    <w:abstractNumId w:val="19"/>
  </w:num>
  <w:num w:numId="14">
    <w:abstractNumId w:val="31"/>
  </w:num>
  <w:num w:numId="15">
    <w:abstractNumId w:val="0"/>
  </w:num>
  <w:num w:numId="16">
    <w:abstractNumId w:val="13"/>
  </w:num>
  <w:num w:numId="17">
    <w:abstractNumId w:val="32"/>
  </w:num>
  <w:num w:numId="18">
    <w:abstractNumId w:val="10"/>
  </w:num>
  <w:num w:numId="19">
    <w:abstractNumId w:val="22"/>
  </w:num>
  <w:num w:numId="20">
    <w:abstractNumId w:val="29"/>
  </w:num>
  <w:num w:numId="21">
    <w:abstractNumId w:val="23"/>
  </w:num>
  <w:num w:numId="22">
    <w:abstractNumId w:val="14"/>
  </w:num>
  <w:num w:numId="23">
    <w:abstractNumId w:val="12"/>
  </w:num>
  <w:num w:numId="24">
    <w:abstractNumId w:val="17"/>
  </w:num>
  <w:num w:numId="25">
    <w:abstractNumId w:val="27"/>
  </w:num>
  <w:num w:numId="26">
    <w:abstractNumId w:val="9"/>
  </w:num>
  <w:num w:numId="27">
    <w:abstractNumId w:val="4"/>
  </w:num>
  <w:num w:numId="28">
    <w:abstractNumId w:val="20"/>
  </w:num>
  <w:num w:numId="29">
    <w:abstractNumId w:val="11"/>
  </w:num>
  <w:num w:numId="30">
    <w:abstractNumId w:val="34"/>
  </w:num>
  <w:num w:numId="31">
    <w:abstractNumId w:val="8"/>
  </w:num>
  <w:num w:numId="32">
    <w:abstractNumId w:val="24"/>
  </w:num>
  <w:num w:numId="33">
    <w:abstractNumId w:val="15"/>
  </w:num>
  <w:num w:numId="34">
    <w:abstractNumId w:val="26"/>
  </w:num>
  <w:num w:numId="35">
    <w:abstractNumId w:val="3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40"/>
  <w:displayHorizontalDrawingGridEvery w:val="2"/>
  <w:characterSpacingControl w:val="doNotCompress"/>
  <w:footnotePr>
    <w:footnote w:id="0"/>
    <w:footnote w:id="1"/>
  </w:footnotePr>
  <w:endnotePr>
    <w:endnote w:id="0"/>
    <w:endnote w:id="1"/>
  </w:endnotePr>
  <w:compat/>
  <w:rsids>
    <w:rsidRoot w:val="00120DCE"/>
    <w:rsid w:val="00030C37"/>
    <w:rsid w:val="000359DD"/>
    <w:rsid w:val="0005706C"/>
    <w:rsid w:val="00062A1B"/>
    <w:rsid w:val="00084D0C"/>
    <w:rsid w:val="00095635"/>
    <w:rsid w:val="000C6B38"/>
    <w:rsid w:val="000C79B9"/>
    <w:rsid w:val="000D1CA6"/>
    <w:rsid w:val="00120DCE"/>
    <w:rsid w:val="00135CEC"/>
    <w:rsid w:val="001A3935"/>
    <w:rsid w:val="002140B5"/>
    <w:rsid w:val="002354B1"/>
    <w:rsid w:val="00255976"/>
    <w:rsid w:val="002B2957"/>
    <w:rsid w:val="003144C6"/>
    <w:rsid w:val="003823C7"/>
    <w:rsid w:val="003B73DF"/>
    <w:rsid w:val="00440309"/>
    <w:rsid w:val="00443502"/>
    <w:rsid w:val="00484B9E"/>
    <w:rsid w:val="00510717"/>
    <w:rsid w:val="00567B8D"/>
    <w:rsid w:val="00574B0B"/>
    <w:rsid w:val="005938A6"/>
    <w:rsid w:val="005E57B8"/>
    <w:rsid w:val="006110C0"/>
    <w:rsid w:val="00614237"/>
    <w:rsid w:val="00616B2D"/>
    <w:rsid w:val="00616BAD"/>
    <w:rsid w:val="006F7EC9"/>
    <w:rsid w:val="00703AD5"/>
    <w:rsid w:val="007158DE"/>
    <w:rsid w:val="00754391"/>
    <w:rsid w:val="007668E1"/>
    <w:rsid w:val="00783A67"/>
    <w:rsid w:val="007918F6"/>
    <w:rsid w:val="007E0D5F"/>
    <w:rsid w:val="00825F4F"/>
    <w:rsid w:val="00827E93"/>
    <w:rsid w:val="00894022"/>
    <w:rsid w:val="008A0A62"/>
    <w:rsid w:val="008A764F"/>
    <w:rsid w:val="008C7CE8"/>
    <w:rsid w:val="008F7F36"/>
    <w:rsid w:val="0091639C"/>
    <w:rsid w:val="00980CF7"/>
    <w:rsid w:val="009B5880"/>
    <w:rsid w:val="009E0F33"/>
    <w:rsid w:val="009F231E"/>
    <w:rsid w:val="00A231A0"/>
    <w:rsid w:val="00A32E6C"/>
    <w:rsid w:val="00A53242"/>
    <w:rsid w:val="00A92727"/>
    <w:rsid w:val="00A974C5"/>
    <w:rsid w:val="00AA3160"/>
    <w:rsid w:val="00AD083D"/>
    <w:rsid w:val="00AE3547"/>
    <w:rsid w:val="00AF031B"/>
    <w:rsid w:val="00AF7D14"/>
    <w:rsid w:val="00B22B71"/>
    <w:rsid w:val="00B4592E"/>
    <w:rsid w:val="00B659EF"/>
    <w:rsid w:val="00B72AD3"/>
    <w:rsid w:val="00B75C22"/>
    <w:rsid w:val="00BA4D9D"/>
    <w:rsid w:val="00BA7896"/>
    <w:rsid w:val="00BB6A04"/>
    <w:rsid w:val="00BD2E72"/>
    <w:rsid w:val="00BE430E"/>
    <w:rsid w:val="00BF54DB"/>
    <w:rsid w:val="00C04323"/>
    <w:rsid w:val="00CA1194"/>
    <w:rsid w:val="00DD1007"/>
    <w:rsid w:val="00DD4202"/>
    <w:rsid w:val="00DD6EFD"/>
    <w:rsid w:val="00E05EEE"/>
    <w:rsid w:val="00E17B16"/>
    <w:rsid w:val="00EA025C"/>
    <w:rsid w:val="00EA2598"/>
    <w:rsid w:val="00F1099B"/>
    <w:rsid w:val="00F726C5"/>
    <w:rsid w:val="00F747C6"/>
    <w:rsid w:val="00FD11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F7D14"/>
    <w:pPr>
      <w:spacing w:after="0" w:line="360" w:lineRule="auto"/>
    </w:pPr>
    <w:rPr>
      <w:rFonts w:ascii="Times New Roman" w:hAnsi="Times New Roman"/>
      <w:sz w:val="28"/>
    </w:rPr>
  </w:style>
  <w:style w:type="paragraph" w:styleId="Cmsor1">
    <w:name w:val="heading 1"/>
    <w:basedOn w:val="Norml"/>
    <w:link w:val="Cmsor1Char"/>
    <w:qFormat/>
    <w:rsid w:val="00AF7D14"/>
    <w:pPr>
      <w:numPr>
        <w:numId w:val="1"/>
      </w:numPr>
      <w:spacing w:after="120" w:line="240" w:lineRule="auto"/>
      <w:outlineLvl w:val="0"/>
    </w:pPr>
    <w:rPr>
      <w:rFonts w:eastAsia="Times New Roman" w:cs="Times New Roman"/>
      <w:b/>
      <w:bCs/>
      <w:kern w:val="36"/>
      <w:sz w:val="32"/>
      <w:szCs w:val="48"/>
      <w:lang w:eastAsia="hu-HU"/>
    </w:rPr>
  </w:style>
  <w:style w:type="paragraph" w:styleId="Cmsor2">
    <w:name w:val="heading 2"/>
    <w:basedOn w:val="Norml"/>
    <w:next w:val="Norml"/>
    <w:link w:val="Cmsor2Char"/>
    <w:uiPriority w:val="9"/>
    <w:unhideWhenUsed/>
    <w:qFormat/>
    <w:rsid w:val="00AF7D14"/>
    <w:pPr>
      <w:keepNext/>
      <w:keepLines/>
      <w:numPr>
        <w:ilvl w:val="1"/>
        <w:numId w:val="1"/>
      </w:numPr>
      <w:spacing w:after="120"/>
      <w:outlineLvl w:val="1"/>
    </w:pPr>
    <w:rPr>
      <w:rFonts w:eastAsiaTheme="majorEastAsia" w:cstheme="majorBidi"/>
      <w:b/>
      <w:bCs/>
      <w:color w:val="000000" w:themeColor="text1"/>
      <w:sz w:val="32"/>
      <w:szCs w:val="26"/>
    </w:rPr>
  </w:style>
  <w:style w:type="paragraph" w:styleId="Cmsor3">
    <w:name w:val="heading 3"/>
    <w:basedOn w:val="Norml"/>
    <w:next w:val="Norml"/>
    <w:link w:val="Cmsor3Char"/>
    <w:uiPriority w:val="9"/>
    <w:unhideWhenUsed/>
    <w:qFormat/>
    <w:rsid w:val="00AF7D14"/>
    <w:pPr>
      <w:keepNext/>
      <w:keepLines/>
      <w:numPr>
        <w:ilvl w:val="2"/>
        <w:numId w:val="1"/>
      </w:numPr>
      <w:spacing w:after="120"/>
      <w:outlineLvl w:val="2"/>
    </w:pPr>
    <w:rPr>
      <w:rFonts w:eastAsiaTheme="majorEastAsia" w:cstheme="majorBidi"/>
      <w:b/>
      <w:bCs/>
      <w:i/>
      <w:color w:val="000000" w:themeColor="text1"/>
    </w:rPr>
  </w:style>
  <w:style w:type="paragraph" w:styleId="Cmsor4">
    <w:name w:val="heading 4"/>
    <w:basedOn w:val="Norml"/>
    <w:next w:val="Norml"/>
    <w:link w:val="Cmsor4Char"/>
    <w:uiPriority w:val="9"/>
    <w:unhideWhenUsed/>
    <w:qFormat/>
    <w:rsid w:val="00AF7D1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AF7D1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AF7D1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AF7D1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AF7D1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uiPriority w:val="9"/>
    <w:semiHidden/>
    <w:unhideWhenUsed/>
    <w:qFormat/>
    <w:rsid w:val="00AF7D1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938A6"/>
    <w:pPr>
      <w:ind w:left="720"/>
      <w:contextualSpacing/>
    </w:pPr>
  </w:style>
  <w:style w:type="paragraph" w:styleId="Buborkszveg">
    <w:name w:val="Balloon Text"/>
    <w:basedOn w:val="Norml"/>
    <w:link w:val="BuborkszvegChar"/>
    <w:uiPriority w:val="99"/>
    <w:semiHidden/>
    <w:unhideWhenUsed/>
    <w:rsid w:val="00574B0B"/>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74B0B"/>
    <w:rPr>
      <w:rFonts w:ascii="Tahoma" w:hAnsi="Tahoma" w:cs="Tahoma"/>
      <w:sz w:val="16"/>
      <w:szCs w:val="16"/>
    </w:rPr>
  </w:style>
  <w:style w:type="paragraph" w:styleId="Kpalrs">
    <w:name w:val="caption"/>
    <w:basedOn w:val="Norml"/>
    <w:next w:val="Norml"/>
    <w:unhideWhenUsed/>
    <w:qFormat/>
    <w:rsid w:val="00A231A0"/>
    <w:pPr>
      <w:spacing w:line="240" w:lineRule="auto"/>
    </w:pPr>
    <w:rPr>
      <w:b/>
      <w:bCs/>
      <w:color w:val="4F81BD" w:themeColor="accent1"/>
      <w:sz w:val="18"/>
      <w:szCs w:val="18"/>
    </w:rPr>
  </w:style>
  <w:style w:type="character" w:customStyle="1" w:styleId="Cmsor1Char">
    <w:name w:val="Címsor 1 Char"/>
    <w:basedOn w:val="Bekezdsalapbettpusa"/>
    <w:link w:val="Cmsor1"/>
    <w:rsid w:val="00AF7D14"/>
    <w:rPr>
      <w:rFonts w:ascii="Times New Roman" w:eastAsia="Times New Roman" w:hAnsi="Times New Roman" w:cs="Times New Roman"/>
      <w:b/>
      <w:bCs/>
      <w:kern w:val="36"/>
      <w:sz w:val="32"/>
      <w:szCs w:val="48"/>
      <w:lang w:eastAsia="hu-HU"/>
    </w:rPr>
  </w:style>
  <w:style w:type="paragraph" w:customStyle="1" w:styleId="CharCharChar">
    <w:name w:val="Char Char Char"/>
    <w:basedOn w:val="Norml"/>
    <w:rsid w:val="00616B2D"/>
    <w:pPr>
      <w:spacing w:after="160" w:line="240" w:lineRule="exact"/>
    </w:pPr>
    <w:rPr>
      <w:rFonts w:ascii="Verdana" w:eastAsia="Times New Roman" w:hAnsi="Verdana" w:cs="Times New Roman"/>
      <w:sz w:val="20"/>
      <w:szCs w:val="20"/>
      <w:lang w:val="en-US"/>
    </w:rPr>
  </w:style>
  <w:style w:type="character" w:customStyle="1" w:styleId="Cmsor2Char">
    <w:name w:val="Címsor 2 Char"/>
    <w:basedOn w:val="Bekezdsalapbettpusa"/>
    <w:link w:val="Cmsor2"/>
    <w:uiPriority w:val="9"/>
    <w:rsid w:val="00AF7D14"/>
    <w:rPr>
      <w:rFonts w:ascii="Times New Roman" w:eastAsiaTheme="majorEastAsia" w:hAnsi="Times New Roman" w:cstheme="majorBidi"/>
      <w:b/>
      <w:bCs/>
      <w:color w:val="000000" w:themeColor="text1"/>
      <w:sz w:val="32"/>
      <w:szCs w:val="26"/>
    </w:rPr>
  </w:style>
  <w:style w:type="character" w:customStyle="1" w:styleId="Cmsor3Char">
    <w:name w:val="Címsor 3 Char"/>
    <w:basedOn w:val="Bekezdsalapbettpusa"/>
    <w:link w:val="Cmsor3"/>
    <w:uiPriority w:val="9"/>
    <w:rsid w:val="00AF7D14"/>
    <w:rPr>
      <w:rFonts w:ascii="Times New Roman" w:eastAsiaTheme="majorEastAsia" w:hAnsi="Times New Roman" w:cstheme="majorBidi"/>
      <w:b/>
      <w:bCs/>
      <w:i/>
      <w:color w:val="000000" w:themeColor="text1"/>
      <w:sz w:val="28"/>
    </w:rPr>
  </w:style>
  <w:style w:type="character" w:customStyle="1" w:styleId="Cmsor4Char">
    <w:name w:val="Címsor 4 Char"/>
    <w:basedOn w:val="Bekezdsalapbettpusa"/>
    <w:link w:val="Cmsor4"/>
    <w:uiPriority w:val="9"/>
    <w:rsid w:val="00AF7D14"/>
    <w:rPr>
      <w:rFonts w:asciiTheme="majorHAnsi" w:eastAsiaTheme="majorEastAsia" w:hAnsiTheme="majorHAnsi" w:cstheme="majorBidi"/>
      <w:b/>
      <w:bCs/>
      <w:i/>
      <w:iCs/>
      <w:color w:val="4F81BD" w:themeColor="accent1"/>
      <w:sz w:val="28"/>
    </w:rPr>
  </w:style>
  <w:style w:type="character" w:customStyle="1" w:styleId="Cmsor5Char">
    <w:name w:val="Címsor 5 Char"/>
    <w:basedOn w:val="Bekezdsalapbettpusa"/>
    <w:link w:val="Cmsor5"/>
    <w:uiPriority w:val="9"/>
    <w:semiHidden/>
    <w:rsid w:val="00AF7D14"/>
    <w:rPr>
      <w:rFonts w:asciiTheme="majorHAnsi" w:eastAsiaTheme="majorEastAsia" w:hAnsiTheme="majorHAnsi" w:cstheme="majorBidi"/>
      <w:color w:val="243F60" w:themeColor="accent1" w:themeShade="7F"/>
      <w:sz w:val="28"/>
    </w:rPr>
  </w:style>
  <w:style w:type="character" w:customStyle="1" w:styleId="Cmsor6Char">
    <w:name w:val="Címsor 6 Char"/>
    <w:basedOn w:val="Bekezdsalapbettpusa"/>
    <w:link w:val="Cmsor6"/>
    <w:uiPriority w:val="9"/>
    <w:semiHidden/>
    <w:rsid w:val="00AF7D14"/>
    <w:rPr>
      <w:rFonts w:asciiTheme="majorHAnsi" w:eastAsiaTheme="majorEastAsia" w:hAnsiTheme="majorHAnsi" w:cstheme="majorBidi"/>
      <w:i/>
      <w:iCs/>
      <w:color w:val="243F60" w:themeColor="accent1" w:themeShade="7F"/>
      <w:sz w:val="28"/>
    </w:rPr>
  </w:style>
  <w:style w:type="character" w:customStyle="1" w:styleId="Cmsor7Char">
    <w:name w:val="Címsor 7 Char"/>
    <w:basedOn w:val="Bekezdsalapbettpusa"/>
    <w:link w:val="Cmsor7"/>
    <w:uiPriority w:val="9"/>
    <w:semiHidden/>
    <w:rsid w:val="00AF7D14"/>
    <w:rPr>
      <w:rFonts w:asciiTheme="majorHAnsi" w:eastAsiaTheme="majorEastAsia" w:hAnsiTheme="majorHAnsi" w:cstheme="majorBidi"/>
      <w:i/>
      <w:iCs/>
      <w:color w:val="404040" w:themeColor="text1" w:themeTint="BF"/>
      <w:sz w:val="28"/>
    </w:rPr>
  </w:style>
  <w:style w:type="character" w:customStyle="1" w:styleId="Cmsor8Char">
    <w:name w:val="Címsor 8 Char"/>
    <w:basedOn w:val="Bekezdsalapbettpusa"/>
    <w:link w:val="Cmsor8"/>
    <w:uiPriority w:val="9"/>
    <w:semiHidden/>
    <w:rsid w:val="00AF7D14"/>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AF7D14"/>
    <w:rPr>
      <w:rFonts w:asciiTheme="majorHAnsi" w:eastAsiaTheme="majorEastAsia" w:hAnsiTheme="majorHAnsi" w:cstheme="majorBidi"/>
      <w:i/>
      <w:iCs/>
      <w:color w:val="404040" w:themeColor="text1" w:themeTint="BF"/>
      <w:sz w:val="20"/>
      <w:szCs w:val="20"/>
    </w:rPr>
  </w:style>
  <w:style w:type="paragraph" w:styleId="lfej">
    <w:name w:val="header"/>
    <w:basedOn w:val="Norml"/>
    <w:link w:val="lfejChar"/>
    <w:unhideWhenUsed/>
    <w:rsid w:val="00AA3160"/>
    <w:pPr>
      <w:tabs>
        <w:tab w:val="center" w:pos="4536"/>
        <w:tab w:val="right" w:pos="9072"/>
      </w:tabs>
      <w:spacing w:line="240" w:lineRule="auto"/>
    </w:pPr>
  </w:style>
  <w:style w:type="character" w:customStyle="1" w:styleId="lfejChar">
    <w:name w:val="Élőfej Char"/>
    <w:basedOn w:val="Bekezdsalapbettpusa"/>
    <w:link w:val="lfej"/>
    <w:uiPriority w:val="99"/>
    <w:rsid w:val="00AA3160"/>
    <w:rPr>
      <w:rFonts w:ascii="Times New Roman" w:hAnsi="Times New Roman"/>
      <w:sz w:val="28"/>
    </w:rPr>
  </w:style>
  <w:style w:type="paragraph" w:styleId="llb">
    <w:name w:val="footer"/>
    <w:basedOn w:val="Norml"/>
    <w:link w:val="llbChar"/>
    <w:uiPriority w:val="99"/>
    <w:unhideWhenUsed/>
    <w:rsid w:val="00AA3160"/>
    <w:pPr>
      <w:tabs>
        <w:tab w:val="center" w:pos="4536"/>
        <w:tab w:val="right" w:pos="9072"/>
      </w:tabs>
      <w:spacing w:line="240" w:lineRule="auto"/>
    </w:pPr>
  </w:style>
  <w:style w:type="character" w:customStyle="1" w:styleId="llbChar">
    <w:name w:val="Élőláb Char"/>
    <w:basedOn w:val="Bekezdsalapbettpusa"/>
    <w:link w:val="llb"/>
    <w:uiPriority w:val="99"/>
    <w:rsid w:val="00AA3160"/>
    <w:rPr>
      <w:rFonts w:ascii="Times New Roman" w:hAnsi="Times New Roman"/>
      <w:sz w:val="28"/>
    </w:rPr>
  </w:style>
  <w:style w:type="paragraph" w:styleId="Tartalomjegyzkcmsora">
    <w:name w:val="TOC Heading"/>
    <w:basedOn w:val="Cmsor1"/>
    <w:next w:val="Norml"/>
    <w:uiPriority w:val="39"/>
    <w:unhideWhenUsed/>
    <w:qFormat/>
    <w:rsid w:val="00EA2598"/>
    <w:pPr>
      <w:keepNext/>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J1">
    <w:name w:val="toc 1"/>
    <w:basedOn w:val="Norml"/>
    <w:next w:val="Norml"/>
    <w:autoRedefine/>
    <w:uiPriority w:val="39"/>
    <w:unhideWhenUsed/>
    <w:rsid w:val="00EA2598"/>
    <w:pPr>
      <w:spacing w:before="360"/>
    </w:pPr>
    <w:rPr>
      <w:rFonts w:asciiTheme="majorHAnsi" w:hAnsiTheme="majorHAnsi"/>
      <w:b/>
      <w:bCs/>
      <w:caps/>
      <w:sz w:val="24"/>
      <w:szCs w:val="24"/>
    </w:rPr>
  </w:style>
  <w:style w:type="paragraph" w:styleId="TJ2">
    <w:name w:val="toc 2"/>
    <w:basedOn w:val="Norml"/>
    <w:next w:val="Norml"/>
    <w:autoRedefine/>
    <w:uiPriority w:val="39"/>
    <w:unhideWhenUsed/>
    <w:rsid w:val="00EA2598"/>
    <w:pPr>
      <w:spacing w:before="240"/>
    </w:pPr>
    <w:rPr>
      <w:rFonts w:asciiTheme="minorHAnsi" w:hAnsiTheme="minorHAnsi"/>
      <w:b/>
      <w:bCs/>
      <w:sz w:val="20"/>
      <w:szCs w:val="20"/>
    </w:rPr>
  </w:style>
  <w:style w:type="paragraph" w:styleId="TJ3">
    <w:name w:val="toc 3"/>
    <w:basedOn w:val="Norml"/>
    <w:next w:val="Norml"/>
    <w:autoRedefine/>
    <w:uiPriority w:val="39"/>
    <w:unhideWhenUsed/>
    <w:rsid w:val="00EA2598"/>
    <w:pPr>
      <w:ind w:left="280"/>
    </w:pPr>
    <w:rPr>
      <w:rFonts w:asciiTheme="minorHAnsi" w:hAnsiTheme="minorHAnsi"/>
      <w:sz w:val="20"/>
      <w:szCs w:val="20"/>
    </w:rPr>
  </w:style>
  <w:style w:type="character" w:styleId="Hiperhivatkozs">
    <w:name w:val="Hyperlink"/>
    <w:basedOn w:val="Bekezdsalapbettpusa"/>
    <w:uiPriority w:val="99"/>
    <w:unhideWhenUsed/>
    <w:rsid w:val="00EA2598"/>
    <w:rPr>
      <w:color w:val="0000FF" w:themeColor="hyperlink"/>
      <w:u w:val="single"/>
    </w:rPr>
  </w:style>
  <w:style w:type="paragraph" w:styleId="Szvegtrzsbehzssal">
    <w:name w:val="Body Text Indent"/>
    <w:basedOn w:val="Norml"/>
    <w:link w:val="SzvegtrzsbehzssalChar"/>
    <w:semiHidden/>
    <w:rsid w:val="00EA2598"/>
    <w:pPr>
      <w:spacing w:line="240" w:lineRule="auto"/>
      <w:ind w:left="284"/>
      <w:jc w:val="both"/>
    </w:pPr>
    <w:rPr>
      <w:rFonts w:eastAsia="Times New Roman" w:cs="Times New Roman"/>
      <w:color w:val="000000"/>
      <w:sz w:val="24"/>
      <w:szCs w:val="20"/>
      <w:lang w:eastAsia="hu-HU"/>
    </w:rPr>
  </w:style>
  <w:style w:type="character" w:customStyle="1" w:styleId="SzvegtrzsbehzssalChar">
    <w:name w:val="Szövegtörzs behúzással Char"/>
    <w:basedOn w:val="Bekezdsalapbettpusa"/>
    <w:link w:val="Szvegtrzsbehzssal"/>
    <w:semiHidden/>
    <w:rsid w:val="00EA2598"/>
    <w:rPr>
      <w:rFonts w:ascii="Times New Roman" w:eastAsia="Times New Roman" w:hAnsi="Times New Roman" w:cs="Times New Roman"/>
      <w:color w:val="000000"/>
      <w:sz w:val="24"/>
      <w:szCs w:val="20"/>
      <w:lang w:eastAsia="hu-HU"/>
    </w:rPr>
  </w:style>
  <w:style w:type="paragraph" w:styleId="Lbjegyzetszveg">
    <w:name w:val="footnote text"/>
    <w:basedOn w:val="Norml"/>
    <w:link w:val="LbjegyzetszvegChar"/>
    <w:uiPriority w:val="99"/>
    <w:semiHidden/>
    <w:unhideWhenUsed/>
    <w:rsid w:val="00EA2598"/>
    <w:pPr>
      <w:spacing w:line="240" w:lineRule="auto"/>
    </w:pPr>
    <w:rPr>
      <w:sz w:val="20"/>
      <w:szCs w:val="20"/>
    </w:rPr>
  </w:style>
  <w:style w:type="character" w:customStyle="1" w:styleId="LbjegyzetszvegChar">
    <w:name w:val="Lábjegyzetszöveg Char"/>
    <w:basedOn w:val="Bekezdsalapbettpusa"/>
    <w:link w:val="Lbjegyzetszveg"/>
    <w:uiPriority w:val="99"/>
    <w:semiHidden/>
    <w:rsid w:val="00EA2598"/>
    <w:rPr>
      <w:rFonts w:ascii="Times New Roman" w:hAnsi="Times New Roman"/>
      <w:sz w:val="20"/>
      <w:szCs w:val="20"/>
    </w:rPr>
  </w:style>
  <w:style w:type="character" w:styleId="Lbjegyzet-hivatkozs">
    <w:name w:val="footnote reference"/>
    <w:basedOn w:val="Bekezdsalapbettpusa"/>
    <w:uiPriority w:val="99"/>
    <w:semiHidden/>
    <w:unhideWhenUsed/>
    <w:rsid w:val="00EA2598"/>
    <w:rPr>
      <w:vertAlign w:val="superscript"/>
    </w:rPr>
  </w:style>
  <w:style w:type="paragraph" w:styleId="brajegyzk">
    <w:name w:val="table of figures"/>
    <w:basedOn w:val="Norml"/>
    <w:next w:val="Norml"/>
    <w:uiPriority w:val="99"/>
    <w:unhideWhenUsed/>
    <w:rsid w:val="00C04323"/>
    <w:rPr>
      <w:rFonts w:asciiTheme="minorHAnsi" w:hAnsiTheme="minorHAnsi"/>
      <w:i/>
      <w:iCs/>
      <w:sz w:val="20"/>
      <w:szCs w:val="20"/>
    </w:rPr>
  </w:style>
  <w:style w:type="character" w:styleId="Mrltotthiperhivatkozs">
    <w:name w:val="FollowedHyperlink"/>
    <w:basedOn w:val="Bekezdsalapbettpusa"/>
    <w:uiPriority w:val="99"/>
    <w:semiHidden/>
    <w:unhideWhenUsed/>
    <w:rsid w:val="00C04323"/>
    <w:rPr>
      <w:color w:val="800080" w:themeColor="followedHyperlink"/>
      <w:u w:val="single"/>
    </w:rPr>
  </w:style>
  <w:style w:type="character" w:styleId="HTML-idzet">
    <w:name w:val="HTML Cite"/>
    <w:basedOn w:val="Bekezdsalapbettpusa"/>
    <w:uiPriority w:val="99"/>
    <w:semiHidden/>
    <w:unhideWhenUsed/>
    <w:rsid w:val="00C04323"/>
    <w:rPr>
      <w:i/>
      <w:iCs/>
    </w:rPr>
  </w:style>
  <w:style w:type="character" w:customStyle="1" w:styleId="grame">
    <w:name w:val="grame"/>
    <w:basedOn w:val="Bekezdsalapbettpusa"/>
    <w:rsid w:val="00C043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dac.de/" TargetMode="External"/><Relationship Id="rId18" Type="http://schemas.openxmlformats.org/officeDocument/2006/relationships/hyperlink" Target="http://miau.gau.hu/miau2009/index.php3?x=miau128&amp;where%5bindexkod%5d=miau132/la132.docx"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terkepcentrum.hu/index.asp?go=mapeu&amp;rid=1&amp;pid=0&amp;sx=520&amp;sy=520&amp;lx=0&amp;ly=0&amp;nz=2.50&amp;cx=19.208000&amp;cy=47.718666&amp;z=468.750000&amp;p.x=239&amp;p.y=210&amp;wgsy1=&amp;wgsy2=&amp;wgsx1=&amp;wgsx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pp.eurostat.ec.europa.eu" TargetMode="External"/><Relationship Id="rId17" Type="http://schemas.openxmlformats.org/officeDocument/2006/relationships/hyperlink" Target="http://www.itbusiness.hu/hetilap/hirhatter/Innovacios_tudasbazis.html" TargetMode="External"/><Relationship Id="rId25" Type="http://schemas.openxmlformats.org/officeDocument/2006/relationships/hyperlink" Target="https://teir.vati.hu/rqdist/main?rq_app=meta&amp;rq_proc=strfr&amp;dbid=1&amp;ev=200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erkepcentrum.hu/" TargetMode="External"/><Relationship Id="rId20" Type="http://schemas.openxmlformats.org/officeDocument/2006/relationships/image" Target="media/image1.png"/><Relationship Id="rId29" Type="http://schemas.openxmlformats.org/officeDocument/2006/relationships/hyperlink" Target="http://miau.gau.hu/miau/131/reszjelentes_2/interpretaciok/7-retegu%20elemzes.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sh.hu" TargetMode="External"/><Relationship Id="rId24" Type="http://schemas.openxmlformats.org/officeDocument/2006/relationships/image" Target="media/image3.jpeg"/><Relationship Id="rId32"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miau.gau.hu/dipo" TargetMode="External"/><Relationship Id="rId23" Type="http://schemas.openxmlformats.org/officeDocument/2006/relationships/hyperlink" Target="http://miau.gau.hu/dipo" TargetMode="External"/><Relationship Id="rId28" Type="http://schemas.openxmlformats.org/officeDocument/2006/relationships/chart" Target="charts/chart1.xml"/><Relationship Id="rId10" Type="http://schemas.openxmlformats.org/officeDocument/2006/relationships/hyperlink" Target="http://teir.vati.hu" TargetMode="External"/><Relationship Id="rId19" Type="http://schemas.openxmlformats.org/officeDocument/2006/relationships/hyperlink" Target="http://www.mnvh.hu/ptPortal/index.php?mod=news&amp;action=showNews&amp;newsid=9463&amp;lang=hu" TargetMode="External"/><Relationship Id="rId31" Type="http://schemas.openxmlformats.org/officeDocument/2006/relationships/hyperlink" Target="http://miau.gau.hu/miau/131/reszjelentes_2/interpretaciok/7-retegu%20elemzes.xlsx" TargetMode="External"/><Relationship Id="rId4" Type="http://schemas.openxmlformats.org/officeDocument/2006/relationships/settings" Target="settings.xml"/><Relationship Id="rId9" Type="http://schemas.openxmlformats.org/officeDocument/2006/relationships/hyperlink" Target="http://miau.gau.hu/myx-free/olap/olap2b/2_olap_m.php3" TargetMode="External"/><Relationship Id="rId14" Type="http://schemas.openxmlformats.org/officeDocument/2006/relationships/hyperlink" Target="http://teir.vati.hu" TargetMode="External"/><Relationship Id="rId22" Type="http://schemas.openxmlformats.org/officeDocument/2006/relationships/image" Target="media/image2.jpeg"/><Relationship Id="rId27" Type="http://schemas.openxmlformats.org/officeDocument/2006/relationships/hyperlink" Target="http://miau.gau.hu/myx-free/olap/olap2b/dbackground.php?olap_id=Sr9Mw38AAQEAAA@zHMMAAAAE&amp;s=1&amp;o=1" TargetMode="External"/><Relationship Id="rId30"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Rendszergazda\Dokumentumok\ISZAM\GYAKORLAT\ELEMZ&#201;S\7-retegu%20elemz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Rendszergazda\Dokumentumok\ISZAM\GYAKORLAT\ELEMZ&#201;S\7-retegu%20elemz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4511034120735139"/>
          <c:y val="9.4405139279590863E-2"/>
          <c:w val="0.63643514960629921"/>
          <c:h val="0.70577145393146268"/>
        </c:manualLayout>
      </c:layout>
      <c:lineChart>
        <c:grouping val="standard"/>
        <c:ser>
          <c:idx val="0"/>
          <c:order val="0"/>
          <c:tx>
            <c:strRef>
              <c:f>Munka2!$M$1</c:f>
              <c:strCache>
                <c:ptCount val="1"/>
                <c:pt idx="0">
                  <c:v>Becslés</c:v>
                </c:pt>
              </c:strCache>
            </c:strRef>
          </c:tx>
          <c:marker>
            <c:symbol val="none"/>
          </c:marker>
          <c:trendline>
            <c:spPr>
              <a:ln w="25400">
                <a:solidFill>
                  <a:srgbClr val="00B0F0"/>
                </a:solidFill>
                <a:prstDash val="dash"/>
              </a:ln>
            </c:spPr>
            <c:trendlineType val="linear"/>
          </c:trendline>
          <c:cat>
            <c:numRef>
              <c:f>DIPO!$AB$7:$AB$14</c:f>
              <c:numCache>
                <c:formatCode>General</c:formatCode>
                <c:ptCount val="8"/>
                <c:pt idx="0">
                  <c:v>2000</c:v>
                </c:pt>
                <c:pt idx="1">
                  <c:v>2001</c:v>
                </c:pt>
                <c:pt idx="2">
                  <c:v>2002</c:v>
                </c:pt>
                <c:pt idx="3">
                  <c:v>2003</c:v>
                </c:pt>
                <c:pt idx="4">
                  <c:v>2004</c:v>
                </c:pt>
                <c:pt idx="5">
                  <c:v>2005</c:v>
                </c:pt>
                <c:pt idx="6">
                  <c:v>2006</c:v>
                </c:pt>
                <c:pt idx="7">
                  <c:v>2007</c:v>
                </c:pt>
              </c:numCache>
            </c:numRef>
          </c:cat>
          <c:val>
            <c:numRef>
              <c:f>Munka2!$M$2:$M$9</c:f>
              <c:numCache>
                <c:formatCode>General</c:formatCode>
                <c:ptCount val="8"/>
                <c:pt idx="0">
                  <c:v>255458.90000000002</c:v>
                </c:pt>
                <c:pt idx="1">
                  <c:v>233745</c:v>
                </c:pt>
                <c:pt idx="2">
                  <c:v>0</c:v>
                </c:pt>
                <c:pt idx="3">
                  <c:v>0</c:v>
                </c:pt>
                <c:pt idx="4">
                  <c:v>255458.90000000002</c:v>
                </c:pt>
                <c:pt idx="5">
                  <c:v>45110</c:v>
                </c:pt>
                <c:pt idx="6">
                  <c:v>45110</c:v>
                </c:pt>
                <c:pt idx="7">
                  <c:v>45110</c:v>
                </c:pt>
              </c:numCache>
            </c:numRef>
          </c:val>
        </c:ser>
        <c:ser>
          <c:idx val="1"/>
          <c:order val="1"/>
          <c:tx>
            <c:strRef>
              <c:f>Munka2!$N$1</c:f>
              <c:strCache>
                <c:ptCount val="1"/>
                <c:pt idx="0">
                  <c:v>Tény</c:v>
                </c:pt>
              </c:strCache>
            </c:strRef>
          </c:tx>
          <c:spPr>
            <a:ln>
              <a:solidFill>
                <a:srgbClr val="FF0000"/>
              </a:solidFill>
            </a:ln>
          </c:spPr>
          <c:marker>
            <c:symbol val="none"/>
          </c:marker>
          <c:trendline>
            <c:spPr>
              <a:ln w="25400">
                <a:solidFill>
                  <a:srgbClr val="FF0000"/>
                </a:solidFill>
                <a:prstDash val="dash"/>
              </a:ln>
            </c:spPr>
            <c:trendlineType val="linear"/>
          </c:trendline>
          <c:cat>
            <c:numRef>
              <c:f>DIPO!$AB$7:$AB$14</c:f>
              <c:numCache>
                <c:formatCode>General</c:formatCode>
                <c:ptCount val="8"/>
                <c:pt idx="0">
                  <c:v>2000</c:v>
                </c:pt>
                <c:pt idx="1">
                  <c:v>2001</c:v>
                </c:pt>
                <c:pt idx="2">
                  <c:v>2002</c:v>
                </c:pt>
                <c:pt idx="3">
                  <c:v>2003</c:v>
                </c:pt>
                <c:pt idx="4">
                  <c:v>2004</c:v>
                </c:pt>
                <c:pt idx="5">
                  <c:v>2005</c:v>
                </c:pt>
                <c:pt idx="6">
                  <c:v>2006</c:v>
                </c:pt>
                <c:pt idx="7">
                  <c:v>2007</c:v>
                </c:pt>
              </c:numCache>
            </c:numRef>
          </c:cat>
          <c:val>
            <c:numRef>
              <c:f>Munka2!$N$2:$N$9</c:f>
              <c:numCache>
                <c:formatCode>General</c:formatCode>
                <c:ptCount val="8"/>
                <c:pt idx="0">
                  <c:v>19031</c:v>
                </c:pt>
                <c:pt idx="1">
                  <c:v>9133</c:v>
                </c:pt>
                <c:pt idx="2">
                  <c:v>13949</c:v>
                </c:pt>
                <c:pt idx="3">
                  <c:v>51491</c:v>
                </c:pt>
                <c:pt idx="4">
                  <c:v>102452</c:v>
                </c:pt>
                <c:pt idx="5">
                  <c:v>88020</c:v>
                </c:pt>
                <c:pt idx="6">
                  <c:v>91279</c:v>
                </c:pt>
                <c:pt idx="7">
                  <c:v>71192</c:v>
                </c:pt>
              </c:numCache>
            </c:numRef>
          </c:val>
        </c:ser>
        <c:marker val="1"/>
        <c:axId val="123402112"/>
        <c:axId val="125014016"/>
      </c:lineChart>
      <c:catAx>
        <c:axId val="123402112"/>
        <c:scaling>
          <c:orientation val="minMax"/>
        </c:scaling>
        <c:axPos val="b"/>
        <c:title>
          <c:tx>
            <c:rich>
              <a:bodyPr/>
              <a:lstStyle/>
              <a:p>
                <a:pPr>
                  <a:defRPr lang="hu-HU"/>
                </a:pPr>
                <a:r>
                  <a:rPr lang="en-US"/>
                  <a:t>év</a:t>
                </a:r>
              </a:p>
            </c:rich>
          </c:tx>
        </c:title>
        <c:numFmt formatCode="General" sourceLinked="1"/>
        <c:majorTickMark val="none"/>
        <c:tickLblPos val="nextTo"/>
        <c:txPr>
          <a:bodyPr/>
          <a:lstStyle/>
          <a:p>
            <a:pPr>
              <a:defRPr lang="hu-HU"/>
            </a:pPr>
            <a:endParaRPr lang="en-US"/>
          </a:p>
        </c:txPr>
        <c:crossAx val="125014016"/>
        <c:crosses val="autoZero"/>
        <c:auto val="1"/>
        <c:lblAlgn val="ctr"/>
        <c:lblOffset val="100"/>
      </c:catAx>
      <c:valAx>
        <c:axId val="125014016"/>
        <c:scaling>
          <c:orientation val="minMax"/>
        </c:scaling>
        <c:axPos val="l"/>
        <c:majorGridlines/>
        <c:title>
          <c:tx>
            <c:rich>
              <a:bodyPr rot="-5400000" vert="horz"/>
              <a:lstStyle/>
              <a:p>
                <a:pPr>
                  <a:defRPr lang="hu-HU"/>
                </a:pPr>
                <a:r>
                  <a:rPr lang="hu-HU"/>
                  <a:t>vendégéjszaka / millió fő</a:t>
                </a:r>
              </a:p>
            </c:rich>
          </c:tx>
        </c:title>
        <c:numFmt formatCode="General" sourceLinked="1"/>
        <c:majorTickMark val="none"/>
        <c:tickLblPos val="nextTo"/>
        <c:spPr>
          <a:ln w="9525">
            <a:noFill/>
          </a:ln>
        </c:spPr>
        <c:txPr>
          <a:bodyPr/>
          <a:lstStyle/>
          <a:p>
            <a:pPr>
              <a:defRPr lang="hu-HU"/>
            </a:pPr>
            <a:endParaRPr lang="en-US"/>
          </a:p>
        </c:txPr>
        <c:crossAx val="123402112"/>
        <c:crosses val="autoZero"/>
        <c:crossBetween val="between"/>
      </c:valAx>
    </c:plotArea>
    <c:legend>
      <c:legendPos val="b"/>
      <c:layout>
        <c:manualLayout>
          <c:xMode val="edge"/>
          <c:yMode val="edge"/>
          <c:x val="0.80924719678049861"/>
          <c:y val="0.1563317279522102"/>
          <c:w val="0.1680000000000012"/>
          <c:h val="0.55146150835786256"/>
        </c:manualLayout>
      </c:layout>
      <c:txPr>
        <a:bodyPr/>
        <a:lstStyle/>
        <a:p>
          <a:pPr>
            <a:defRPr lang="hu-HU"/>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3334512961160755"/>
          <c:y val="7.5780475498366154E-2"/>
          <c:w val="0.6623825954339978"/>
          <c:h val="0.7288732856892286"/>
        </c:manualLayout>
      </c:layout>
      <c:lineChart>
        <c:grouping val="standard"/>
        <c:ser>
          <c:idx val="0"/>
          <c:order val="0"/>
          <c:tx>
            <c:strRef>
              <c:f>Munka2!$J$1</c:f>
              <c:strCache>
                <c:ptCount val="1"/>
                <c:pt idx="0">
                  <c:v>Becslés</c:v>
                </c:pt>
              </c:strCache>
            </c:strRef>
          </c:tx>
          <c:marker>
            <c:symbol val="none"/>
          </c:marker>
          <c:trendline>
            <c:spPr>
              <a:ln w="25400">
                <a:solidFill>
                  <a:srgbClr val="00B0F0"/>
                </a:solidFill>
                <a:prstDash val="dash"/>
              </a:ln>
            </c:spPr>
            <c:trendlineType val="linear"/>
          </c:trendline>
          <c:cat>
            <c:numRef>
              <c:f>DIPO!$AB$7:$AB$14</c:f>
              <c:numCache>
                <c:formatCode>General</c:formatCode>
                <c:ptCount val="8"/>
                <c:pt idx="0">
                  <c:v>2000</c:v>
                </c:pt>
                <c:pt idx="1">
                  <c:v>2001</c:v>
                </c:pt>
                <c:pt idx="2">
                  <c:v>2002</c:v>
                </c:pt>
                <c:pt idx="3">
                  <c:v>2003</c:v>
                </c:pt>
                <c:pt idx="4">
                  <c:v>2004</c:v>
                </c:pt>
                <c:pt idx="5">
                  <c:v>2005</c:v>
                </c:pt>
                <c:pt idx="6">
                  <c:v>2006</c:v>
                </c:pt>
                <c:pt idx="7">
                  <c:v>2007</c:v>
                </c:pt>
              </c:numCache>
            </c:numRef>
          </c:cat>
          <c:val>
            <c:numRef>
              <c:f>Munka2!$J$2:$J$9</c:f>
              <c:numCache>
                <c:formatCode>General</c:formatCode>
                <c:ptCount val="8"/>
                <c:pt idx="0">
                  <c:v>14060.09999999986</c:v>
                </c:pt>
                <c:pt idx="1">
                  <c:v>14060.09999999986</c:v>
                </c:pt>
                <c:pt idx="2">
                  <c:v>359.9</c:v>
                </c:pt>
                <c:pt idx="3">
                  <c:v>359.9</c:v>
                </c:pt>
                <c:pt idx="4">
                  <c:v>14060.09999999986</c:v>
                </c:pt>
                <c:pt idx="5">
                  <c:v>14060.09999999986</c:v>
                </c:pt>
                <c:pt idx="6">
                  <c:v>11980.999999999842</c:v>
                </c:pt>
                <c:pt idx="7">
                  <c:v>14060.09999999986</c:v>
                </c:pt>
              </c:numCache>
            </c:numRef>
          </c:val>
        </c:ser>
        <c:ser>
          <c:idx val="1"/>
          <c:order val="1"/>
          <c:tx>
            <c:strRef>
              <c:f>Munka2!$K$1</c:f>
              <c:strCache>
                <c:ptCount val="1"/>
                <c:pt idx="0">
                  <c:v>Tény</c:v>
                </c:pt>
              </c:strCache>
            </c:strRef>
          </c:tx>
          <c:spPr>
            <a:ln>
              <a:solidFill>
                <a:srgbClr val="FF0000"/>
              </a:solidFill>
            </a:ln>
          </c:spPr>
          <c:marker>
            <c:symbol val="none"/>
          </c:marker>
          <c:trendline>
            <c:spPr>
              <a:ln w="25400">
                <a:solidFill>
                  <a:srgbClr val="FF0000"/>
                </a:solidFill>
                <a:prstDash val="dash"/>
              </a:ln>
            </c:spPr>
            <c:trendlineType val="linear"/>
          </c:trendline>
          <c:cat>
            <c:numRef>
              <c:f>DIPO!$AB$7:$AB$14</c:f>
              <c:numCache>
                <c:formatCode>General</c:formatCode>
                <c:ptCount val="8"/>
                <c:pt idx="0">
                  <c:v>2000</c:v>
                </c:pt>
                <c:pt idx="1">
                  <c:v>2001</c:v>
                </c:pt>
                <c:pt idx="2">
                  <c:v>2002</c:v>
                </c:pt>
                <c:pt idx="3">
                  <c:v>2003</c:v>
                </c:pt>
                <c:pt idx="4">
                  <c:v>2004</c:v>
                </c:pt>
                <c:pt idx="5">
                  <c:v>2005</c:v>
                </c:pt>
                <c:pt idx="6">
                  <c:v>2006</c:v>
                </c:pt>
                <c:pt idx="7">
                  <c:v>2007</c:v>
                </c:pt>
              </c:numCache>
            </c:numRef>
          </c:cat>
          <c:val>
            <c:numRef>
              <c:f>Munka2!$K$2:$K$9</c:f>
              <c:numCache>
                <c:formatCode>General</c:formatCode>
                <c:ptCount val="8"/>
                <c:pt idx="0">
                  <c:v>5098</c:v>
                </c:pt>
                <c:pt idx="1">
                  <c:v>4502</c:v>
                </c:pt>
                <c:pt idx="2">
                  <c:v>0</c:v>
                </c:pt>
                <c:pt idx="3">
                  <c:v>884</c:v>
                </c:pt>
                <c:pt idx="4">
                  <c:v>6838</c:v>
                </c:pt>
                <c:pt idx="5">
                  <c:v>878</c:v>
                </c:pt>
                <c:pt idx="6">
                  <c:v>416</c:v>
                </c:pt>
                <c:pt idx="7">
                  <c:v>1034</c:v>
                </c:pt>
              </c:numCache>
            </c:numRef>
          </c:val>
        </c:ser>
        <c:marker val="1"/>
        <c:axId val="140838784"/>
        <c:axId val="140849152"/>
      </c:lineChart>
      <c:catAx>
        <c:axId val="140838784"/>
        <c:scaling>
          <c:orientation val="minMax"/>
        </c:scaling>
        <c:axPos val="b"/>
        <c:title>
          <c:tx>
            <c:rich>
              <a:bodyPr/>
              <a:lstStyle/>
              <a:p>
                <a:pPr>
                  <a:defRPr lang="hu-HU"/>
                </a:pPr>
                <a:r>
                  <a:rPr lang="en-US"/>
                  <a:t>év</a:t>
                </a:r>
              </a:p>
            </c:rich>
          </c:tx>
        </c:title>
        <c:numFmt formatCode="General" sourceLinked="1"/>
        <c:majorTickMark val="none"/>
        <c:tickLblPos val="nextTo"/>
        <c:txPr>
          <a:bodyPr/>
          <a:lstStyle/>
          <a:p>
            <a:pPr>
              <a:defRPr lang="hu-HU"/>
            </a:pPr>
            <a:endParaRPr lang="en-US"/>
          </a:p>
        </c:txPr>
        <c:crossAx val="140849152"/>
        <c:crosses val="autoZero"/>
        <c:auto val="1"/>
        <c:lblAlgn val="ctr"/>
        <c:lblOffset val="100"/>
      </c:catAx>
      <c:valAx>
        <c:axId val="140849152"/>
        <c:scaling>
          <c:orientation val="minMax"/>
        </c:scaling>
        <c:axPos val="l"/>
        <c:majorGridlines/>
        <c:title>
          <c:tx>
            <c:rich>
              <a:bodyPr rot="-5400000" vert="horz"/>
              <a:lstStyle/>
              <a:p>
                <a:pPr>
                  <a:defRPr lang="hu-HU"/>
                </a:pPr>
                <a:r>
                  <a:rPr lang="hu-HU"/>
                  <a:t>vendégéjszaka / millió fő</a:t>
                </a:r>
              </a:p>
            </c:rich>
          </c:tx>
        </c:title>
        <c:numFmt formatCode="General" sourceLinked="1"/>
        <c:majorTickMark val="none"/>
        <c:tickLblPos val="nextTo"/>
        <c:spPr>
          <a:ln w="9525">
            <a:noFill/>
          </a:ln>
        </c:spPr>
        <c:txPr>
          <a:bodyPr/>
          <a:lstStyle/>
          <a:p>
            <a:pPr>
              <a:defRPr lang="hu-HU"/>
            </a:pPr>
            <a:endParaRPr lang="en-US"/>
          </a:p>
        </c:txPr>
        <c:crossAx val="140838784"/>
        <c:crosses val="autoZero"/>
        <c:crossBetween val="between"/>
      </c:valAx>
    </c:plotArea>
    <c:legend>
      <c:legendPos val="b"/>
      <c:layout>
        <c:manualLayout>
          <c:xMode val="edge"/>
          <c:yMode val="edge"/>
          <c:x val="0.81422054233661212"/>
          <c:y val="0.16286309699044724"/>
          <c:w val="0.16542512247423494"/>
          <c:h val="0.55635464645926103"/>
        </c:manualLayout>
      </c:layout>
      <c:txPr>
        <a:bodyPr/>
        <a:lstStyle/>
        <a:p>
          <a:pPr>
            <a:defRPr lang="hu-HU"/>
          </a:pPr>
          <a:endParaRPr lang="en-US"/>
        </a:p>
      </c:txPr>
    </c:legend>
    <c:plotVisOnly val="1"/>
  </c:chart>
  <c:externalData r:id="rId1"/>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EEB10-5522-4BE0-B0C1-E80315F7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21</Pages>
  <Words>4104</Words>
  <Characters>23399</Characters>
  <Application>Microsoft Office Word</Application>
  <DocSecurity>0</DocSecurity>
  <Lines>194</Lines>
  <Paragraphs>54</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27449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MS-USER</dc:creator>
  <cp:lastModifiedBy>Heni</cp:lastModifiedBy>
  <cp:revision>13</cp:revision>
  <dcterms:created xsi:type="dcterms:W3CDTF">2010-01-20T20:54:00Z</dcterms:created>
  <dcterms:modified xsi:type="dcterms:W3CDTF">2010-01-21T00:17:00Z</dcterms:modified>
</cp:coreProperties>
</file>