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42" w:rsidRDefault="003572AE" w:rsidP="003572AE">
      <w:pPr>
        <w:pStyle w:val="Cmsor1"/>
      </w:pPr>
      <w:r>
        <w:t>Faktoranalízis vs. hasonlóságelemzés</w:t>
      </w:r>
    </w:p>
    <w:p w:rsidR="003572AE" w:rsidRDefault="003572AE">
      <w:r>
        <w:t>Pitlik László, 2011. szeptember 14.</w:t>
      </w:r>
    </w:p>
    <w:p w:rsidR="003572AE" w:rsidRDefault="003572AE" w:rsidP="003572AE">
      <w:pPr>
        <w:pStyle w:val="Cmsor2"/>
      </w:pPr>
      <w:r>
        <w:t xml:space="preserve">Bevezetés </w:t>
      </w:r>
    </w:p>
    <w:p w:rsidR="00220DB9" w:rsidRDefault="00220DB9" w:rsidP="003572AE">
      <w:pPr>
        <w:jc w:val="both"/>
      </w:pPr>
    </w:p>
    <w:p w:rsidR="003572AE" w:rsidRDefault="003572AE" w:rsidP="003572AE">
      <w:pPr>
        <w:jc w:val="both"/>
      </w:pPr>
      <w:r>
        <w:t>[1] 272. oldal faktorelemzés: „</w:t>
      </w:r>
      <w:proofErr w:type="gramStart"/>
      <w:r>
        <w:t>…ne</w:t>
      </w:r>
      <w:proofErr w:type="gramEnd"/>
      <w:r>
        <w:t xml:space="preserve"> fogadjuk el az első felmerülő megoldást…” </w:t>
      </w:r>
      <w:r w:rsidR="00B47F16">
        <w:t xml:space="preserve">Ne kerteljünk: </w:t>
      </w:r>
      <w:r>
        <w:t>Amikor ilyen mondattal/gondolattal találkozik a felhasználó, ne</w:t>
      </w:r>
      <w:r w:rsidR="00583738">
        <w:t>m</w:t>
      </w:r>
      <w:r>
        <w:t xml:space="preserve"> árt megrettenni! </w:t>
      </w:r>
      <w:r w:rsidR="00B47F16">
        <w:t xml:space="preserve">Miért? Mert azon módszertanok, melyek teljesen lemondanak arról, hogy a számítási eredmények értelmezését zárt rendszerben oldják meg, egyben utat nyitnak a </w:t>
      </w:r>
      <w:proofErr w:type="spellStart"/>
      <w:r w:rsidR="00B47F16">
        <w:t>vonnegutizmusoknak</w:t>
      </w:r>
      <w:proofErr w:type="spellEnd"/>
      <w:r w:rsidR="00B47F16">
        <w:t xml:space="preserve">, vagyis az önkényes, művészi értekkel kecsegtető belemagyarázásnak [vö. 3]. </w:t>
      </w:r>
    </w:p>
    <w:p w:rsidR="00B47F16" w:rsidRDefault="00B47F16" w:rsidP="00B47F16">
      <w:pPr>
        <w:pStyle w:val="Cmsor2"/>
      </w:pPr>
      <w:r>
        <w:t>A feladat</w:t>
      </w:r>
    </w:p>
    <w:p w:rsidR="00220DB9" w:rsidRDefault="00220DB9" w:rsidP="003572AE">
      <w:pPr>
        <w:jc w:val="both"/>
      </w:pPr>
    </w:p>
    <w:p w:rsidR="00B47F16" w:rsidRDefault="00B47F16" w:rsidP="003572AE">
      <w:pPr>
        <w:jc w:val="both"/>
      </w:pPr>
      <w:r>
        <w:t>[1] 246. oldal faktorelemzés: „</w:t>
      </w:r>
      <w:proofErr w:type="gramStart"/>
      <w:r>
        <w:t>…a</w:t>
      </w:r>
      <w:proofErr w:type="gramEnd"/>
      <w:r>
        <w:t xml:space="preserve"> változók számának redukálása a cél…” Ha ez a cél, tegyük ezt. Tegyük ezt úgy, hogy egy-egy változó megtartása vagy elvetése </w:t>
      </w:r>
      <w:proofErr w:type="spellStart"/>
      <w:r>
        <w:t>context</w:t>
      </w:r>
      <w:proofErr w:type="spellEnd"/>
      <w:r>
        <w:t xml:space="preserve"> free módon, az elemzői átértelmezés esélye és veszélye nélkül történjen. Hiszen akkor, ha az elemző azt és úgy fogad el, amit akar, akkor lényegében már kár is elemző módszerhez folyamodnia. Válasszon egyszerűen intuitív alapon: főleg akkor, ha ettől nem is függ semmi…(</w:t>
      </w:r>
      <w:proofErr w:type="gramStart"/>
      <w:r>
        <w:t>?!</w:t>
      </w:r>
      <w:proofErr w:type="gramEnd"/>
      <w:r>
        <w:t>)</w:t>
      </w:r>
    </w:p>
    <w:p w:rsidR="00B47F16" w:rsidRDefault="00B47F16" w:rsidP="00B47F16">
      <w:pPr>
        <w:pStyle w:val="Cmsor2"/>
      </w:pPr>
      <w:r>
        <w:t>Egy alternatív megoldás</w:t>
      </w:r>
    </w:p>
    <w:p w:rsidR="00220DB9" w:rsidRDefault="00220DB9" w:rsidP="003572AE">
      <w:pPr>
        <w:jc w:val="both"/>
      </w:pPr>
    </w:p>
    <w:p w:rsidR="002756DB" w:rsidRDefault="00B47F16" w:rsidP="003572AE">
      <w:pPr>
        <w:jc w:val="both"/>
      </w:pPr>
      <w:proofErr w:type="gramStart"/>
      <w:r>
        <w:t xml:space="preserve">Ha például valaki kiválaszt néhány tucat vállalkozást és néhány tucat pénzügyi mutatószámot, majd ezen mutatószámokat ráadásul szakirodalmi elvek mentén </w:t>
      </w:r>
      <w:r w:rsidR="002756DB">
        <w:t xml:space="preserve">kisebb-nagyobb </w:t>
      </w:r>
      <w:r>
        <w:t xml:space="preserve">csoportokba sorolja (vö. indikátorok), akkor </w:t>
      </w:r>
      <w:r w:rsidR="002756DB">
        <w:t xml:space="preserve">minden egyes indikátor kapcsán kiszámítható, vajon milyen szerepet játszanak az egyes csoporttagok abban az esetben, ha az elemzés célja a vállalkozások </w:t>
      </w:r>
      <w:proofErr w:type="spellStart"/>
      <w:r w:rsidR="002756DB">
        <w:t>anti-diszkriminációs</w:t>
      </w:r>
      <w:proofErr w:type="spellEnd"/>
      <w:r w:rsidR="002756DB">
        <w:t xml:space="preserve"> összevetése (</w:t>
      </w:r>
      <w:proofErr w:type="spellStart"/>
      <w:r w:rsidR="002756DB">
        <w:t>Y0</w:t>
      </w:r>
      <w:proofErr w:type="spellEnd"/>
      <w:r w:rsidR="002756DB">
        <w:t>_MIN), amikor is azt keressük, vajon lehet-e/szabad-e egyáltalán a vállalkozások különbözőségéről, osztályozhatóságáról beszélni, ill. abban az esetben, ha eleve arra törekszünk, hogy a vállalkozások</w:t>
      </w:r>
      <w:proofErr w:type="gramEnd"/>
      <w:r w:rsidR="002756DB">
        <w:t xml:space="preserve"> </w:t>
      </w:r>
      <w:proofErr w:type="gramStart"/>
      <w:r w:rsidR="002756DB">
        <w:t>között</w:t>
      </w:r>
      <w:proofErr w:type="gramEnd"/>
      <w:r w:rsidR="002756DB">
        <w:t xml:space="preserve"> a lehető legnagyobb eltéréseket állítsuk elő matematikai kényszerrel (</w:t>
      </w:r>
      <w:proofErr w:type="spellStart"/>
      <w:r w:rsidR="002756DB">
        <w:t>Y0</w:t>
      </w:r>
      <w:proofErr w:type="spellEnd"/>
      <w:r w:rsidR="002756DB">
        <w:t xml:space="preserve">_MAX). A két modellezési folyamat egymás inverze, tükörképe, hiszen a célfüggvény más csak: az egyik esetben egy fiktív konstanshoz képest a minimális, míg a másik esetben a maximális hiba kerestetik </w:t>
      </w:r>
      <w:proofErr w:type="spellStart"/>
      <w:r w:rsidR="002756DB">
        <w:t>LP-támogatással</w:t>
      </w:r>
      <w:proofErr w:type="spellEnd"/>
      <w:r w:rsidR="002756DB">
        <w:t xml:space="preserve"> hasonlóságelemzés keretében [2].</w:t>
      </w:r>
    </w:p>
    <w:p w:rsidR="00767DD2" w:rsidRDefault="00767DD2" w:rsidP="003572AE">
      <w:pPr>
        <w:jc w:val="both"/>
      </w:pPr>
      <w:r>
        <w:t xml:space="preserve">Ha az egyes indikátorok mellett még egy új modell is építünk a két célfüggvény mentén, ahol az inputok az indikátoronkénti becslések, akkor az indikátorok fontossági sorrendje (százalékos hozzájárulása a becslési értékekhez) éppúgy levezethető, mint levezethető volt ez a mutatószámok kapcsán indikátoronként. </w:t>
      </w:r>
    </w:p>
    <w:p w:rsidR="002756DB" w:rsidRDefault="002756DB" w:rsidP="00767DD2">
      <w:pPr>
        <w:pStyle w:val="Cmsor2"/>
      </w:pPr>
      <w:r>
        <w:t>Következtetések</w:t>
      </w:r>
    </w:p>
    <w:p w:rsidR="00220DB9" w:rsidRDefault="00220DB9" w:rsidP="003572AE">
      <w:pPr>
        <w:jc w:val="both"/>
      </w:pPr>
    </w:p>
    <w:p w:rsidR="002756DB" w:rsidRDefault="00767DD2" w:rsidP="003572AE">
      <w:pPr>
        <w:jc w:val="both"/>
      </w:pPr>
      <w:r>
        <w:t xml:space="preserve">A hasonlóságelemzés keretében az egyes fontosságoktól azt várjuk, hogy az inverz modellekben egymás tükörképeként jelennek meg. A hasonlóságelemzés önellenőrzési vetülete lehetővé teszi, hogy az inverz eredmények szimmetria-sérüléseit, mint modellezési kockázatot értelmezzük, hiszen </w:t>
      </w:r>
      <w:r>
        <w:lastRenderedPageBreak/>
        <w:t xml:space="preserve">az inverz alakzat logikai ellenőrzést jelent (vö. kettős tagadás). Ennek értelmében azok az indikátorok és azok a mutatószámok tekinthetők hasznosan értelmezhetőnek, melyek inverz alakzatai az ideált jól közelítik. A céginformációs rendszerekre alapozó példában (német anonim adatok alapján) a hiteles indikátorok zölddel, a </w:t>
      </w:r>
      <w:proofErr w:type="spellStart"/>
      <w:r>
        <w:t>rel</w:t>
      </w:r>
      <w:proofErr w:type="spellEnd"/>
      <w:r>
        <w:t xml:space="preserve">. </w:t>
      </w:r>
      <w:proofErr w:type="gramStart"/>
      <w:r>
        <w:t>stabilak</w:t>
      </w:r>
      <w:proofErr w:type="gramEnd"/>
      <w:r>
        <w:t xml:space="preserve"> sárgával, míg az inkább megtévesztő információtartalommal bírók pirossal kerültek jelölésre az 1. táblázatban:</w:t>
      </w:r>
    </w:p>
    <w:p w:rsidR="00220DB9" w:rsidRDefault="00220DB9" w:rsidP="00220DB9">
      <w:pPr>
        <w:jc w:val="both"/>
      </w:pPr>
      <w:r>
        <w:t>Mint az a 2. táblázatból jól kivehető, a zölddel jelölt mutatók alapján érdemes válság-, krízis-elemzést készíteni, míg a pirossal jelöltek erre lényegében nem alkalmasak.</w:t>
      </w:r>
    </w:p>
    <w:p w:rsidR="00767DD2" w:rsidRDefault="00767DD2" w:rsidP="003572AE">
      <w:pPr>
        <w:jc w:val="both"/>
      </w:pPr>
    </w:p>
    <w:tbl>
      <w:tblPr>
        <w:tblW w:w="4820" w:type="dxa"/>
        <w:jc w:val="center"/>
        <w:tblInd w:w="59" w:type="dxa"/>
        <w:tblCellMar>
          <w:left w:w="70" w:type="dxa"/>
          <w:right w:w="70" w:type="dxa"/>
        </w:tblCellMar>
        <w:tblLook w:val="04A0" w:firstRow="1" w:lastRow="0" w:firstColumn="1" w:lastColumn="0" w:noHBand="0" w:noVBand="1"/>
      </w:tblPr>
      <w:tblGrid>
        <w:gridCol w:w="1900"/>
        <w:gridCol w:w="1080"/>
        <w:gridCol w:w="819"/>
        <w:gridCol w:w="1080"/>
      </w:tblGrid>
      <w:tr w:rsidR="00767DD2" w:rsidRPr="00767DD2" w:rsidTr="00220DB9">
        <w:trPr>
          <w:trHeight w:val="255"/>
          <w:jc w:val="center"/>
        </w:trPr>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roofErr w:type="spellStart"/>
            <w:r w:rsidRPr="00767DD2">
              <w:rPr>
                <w:rFonts w:ascii="Arial" w:eastAsia="Times New Roman" w:hAnsi="Arial" w:cs="Arial"/>
                <w:sz w:val="20"/>
                <w:szCs w:val="20"/>
                <w:lang w:eastAsia="hu-HU"/>
              </w:rPr>
              <w:t>indikator</w:t>
            </w:r>
            <w:proofErr w:type="spellEnd"/>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roofErr w:type="spellStart"/>
            <w:r w:rsidRPr="00767DD2">
              <w:rPr>
                <w:rFonts w:ascii="Arial" w:eastAsia="Times New Roman" w:hAnsi="Arial" w:cs="Arial"/>
                <w:sz w:val="20"/>
                <w:szCs w:val="20"/>
                <w:lang w:eastAsia="hu-HU"/>
              </w:rPr>
              <w:t>indikator</w:t>
            </w:r>
            <w:proofErr w:type="spellEnd"/>
          </w:p>
        </w:tc>
        <w:tc>
          <w:tcPr>
            <w:tcW w:w="760" w:type="dxa"/>
            <w:tcBorders>
              <w:top w:val="nil"/>
              <w:left w:val="nil"/>
              <w:bottom w:val="nil"/>
              <w:right w:val="nil"/>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
        </w:tc>
        <w:tc>
          <w:tcPr>
            <w:tcW w:w="1080" w:type="dxa"/>
            <w:tcBorders>
              <w:top w:val="nil"/>
              <w:left w:val="nil"/>
              <w:bottom w:val="nil"/>
              <w:right w:val="nil"/>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
        </w:tc>
      </w:tr>
      <w:tr w:rsidR="00767DD2" w:rsidRPr="00767DD2" w:rsidTr="00220DB9">
        <w:trPr>
          <w:trHeight w:val="255"/>
          <w:jc w:val="center"/>
        </w:trPr>
        <w:tc>
          <w:tcPr>
            <w:tcW w:w="1900" w:type="dxa"/>
            <w:tcBorders>
              <w:top w:val="nil"/>
              <w:left w:val="nil"/>
              <w:bottom w:val="nil"/>
              <w:right w:val="nil"/>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
        </w:tc>
        <w:tc>
          <w:tcPr>
            <w:tcW w:w="1080" w:type="dxa"/>
            <w:tcBorders>
              <w:top w:val="nil"/>
              <w:left w:val="nil"/>
              <w:bottom w:val="nil"/>
              <w:right w:val="nil"/>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
        </w:tc>
        <w:tc>
          <w:tcPr>
            <w:tcW w:w="760" w:type="dxa"/>
            <w:tcBorders>
              <w:top w:val="nil"/>
              <w:left w:val="nil"/>
              <w:bottom w:val="nil"/>
              <w:right w:val="nil"/>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
        </w:tc>
        <w:tc>
          <w:tcPr>
            <w:tcW w:w="1080" w:type="dxa"/>
            <w:tcBorders>
              <w:top w:val="nil"/>
              <w:left w:val="nil"/>
              <w:bottom w:val="nil"/>
              <w:right w:val="nil"/>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
        </w:tc>
      </w:tr>
      <w:tr w:rsidR="00767DD2" w:rsidRPr="00767DD2" w:rsidTr="00220DB9">
        <w:trPr>
          <w:trHeight w:val="255"/>
          <w:jc w:val="center"/>
        </w:trPr>
        <w:tc>
          <w:tcPr>
            <w:tcW w:w="1900" w:type="dxa"/>
            <w:tcBorders>
              <w:top w:val="single" w:sz="4" w:space="0" w:color="000000"/>
              <w:left w:val="single" w:sz="4" w:space="0" w:color="000000"/>
              <w:bottom w:val="nil"/>
              <w:right w:val="nil"/>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r w:rsidRPr="00767DD2">
              <w:rPr>
                <w:rFonts w:ascii="Arial" w:eastAsia="Times New Roman" w:hAnsi="Arial" w:cs="Arial"/>
                <w:sz w:val="20"/>
                <w:szCs w:val="20"/>
                <w:lang w:eastAsia="hu-HU"/>
              </w:rPr>
              <w:t>Összeg / érték/</w:t>
            </w:r>
            <w:proofErr w:type="spellStart"/>
            <w:r w:rsidRPr="00767DD2">
              <w:rPr>
                <w:rFonts w:ascii="Arial" w:eastAsia="Times New Roman" w:hAnsi="Arial" w:cs="Arial"/>
                <w:sz w:val="20"/>
                <w:szCs w:val="20"/>
                <w:lang w:eastAsia="hu-HU"/>
              </w:rPr>
              <w:t>Wert</w:t>
            </w:r>
            <w:proofErr w:type="spellEnd"/>
          </w:p>
        </w:tc>
        <w:tc>
          <w:tcPr>
            <w:tcW w:w="1080" w:type="dxa"/>
            <w:tcBorders>
              <w:top w:val="single" w:sz="4" w:space="0" w:color="000000"/>
              <w:left w:val="single" w:sz="4" w:space="0" w:color="000000"/>
              <w:bottom w:val="nil"/>
              <w:right w:val="nil"/>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r w:rsidRPr="00767DD2">
              <w:rPr>
                <w:rFonts w:ascii="Arial" w:eastAsia="Times New Roman" w:hAnsi="Arial" w:cs="Arial"/>
                <w:sz w:val="20"/>
                <w:szCs w:val="20"/>
                <w:lang w:eastAsia="hu-HU"/>
              </w:rPr>
              <w:t>modell</w:t>
            </w:r>
          </w:p>
        </w:tc>
        <w:tc>
          <w:tcPr>
            <w:tcW w:w="760" w:type="dxa"/>
            <w:tcBorders>
              <w:top w:val="single" w:sz="4" w:space="0" w:color="000000"/>
              <w:left w:val="nil"/>
              <w:bottom w:val="nil"/>
              <w:right w:val="single" w:sz="4" w:space="0" w:color="000000"/>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r w:rsidRPr="00767DD2">
              <w:rPr>
                <w:rFonts w:ascii="Arial" w:eastAsia="Times New Roman" w:hAnsi="Arial" w:cs="Arial"/>
                <w:sz w:val="20"/>
                <w:szCs w:val="20"/>
                <w:lang w:eastAsia="hu-HU"/>
              </w:rPr>
              <w:t> </w:t>
            </w:r>
          </w:p>
        </w:tc>
        <w:tc>
          <w:tcPr>
            <w:tcW w:w="1080" w:type="dxa"/>
            <w:tcBorders>
              <w:top w:val="nil"/>
              <w:left w:val="nil"/>
              <w:bottom w:val="nil"/>
              <w:right w:val="nil"/>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
        </w:tc>
      </w:tr>
      <w:tr w:rsidR="00767DD2" w:rsidRPr="00767DD2" w:rsidTr="00220DB9">
        <w:trPr>
          <w:trHeight w:val="255"/>
          <w:jc w:val="center"/>
        </w:trPr>
        <w:tc>
          <w:tcPr>
            <w:tcW w:w="1900" w:type="dxa"/>
            <w:tcBorders>
              <w:top w:val="single" w:sz="4" w:space="0" w:color="000000"/>
              <w:left w:val="single" w:sz="4" w:space="0" w:color="000000"/>
              <w:bottom w:val="nil"/>
              <w:right w:val="nil"/>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roofErr w:type="spellStart"/>
            <w:r w:rsidRPr="00767DD2">
              <w:rPr>
                <w:rFonts w:ascii="Arial" w:eastAsia="Times New Roman" w:hAnsi="Arial" w:cs="Arial"/>
                <w:sz w:val="20"/>
                <w:szCs w:val="20"/>
                <w:lang w:eastAsia="hu-HU"/>
              </w:rPr>
              <w:t>kennzahl</w:t>
            </w:r>
            <w:proofErr w:type="spellEnd"/>
          </w:p>
        </w:tc>
        <w:tc>
          <w:tcPr>
            <w:tcW w:w="1080" w:type="dxa"/>
            <w:tcBorders>
              <w:top w:val="single" w:sz="4" w:space="0" w:color="000000"/>
              <w:left w:val="single" w:sz="4" w:space="0" w:color="000000"/>
              <w:bottom w:val="nil"/>
              <w:right w:val="nil"/>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roofErr w:type="spellStart"/>
            <w:r w:rsidRPr="00767DD2">
              <w:rPr>
                <w:rFonts w:ascii="Arial" w:eastAsia="Times New Roman" w:hAnsi="Arial" w:cs="Arial"/>
                <w:sz w:val="20"/>
                <w:szCs w:val="20"/>
                <w:lang w:eastAsia="hu-HU"/>
              </w:rPr>
              <w:t>Y0</w:t>
            </w:r>
            <w:proofErr w:type="spellEnd"/>
            <w:r w:rsidRPr="00767DD2">
              <w:rPr>
                <w:rFonts w:ascii="Arial" w:eastAsia="Times New Roman" w:hAnsi="Arial" w:cs="Arial"/>
                <w:sz w:val="20"/>
                <w:szCs w:val="20"/>
                <w:lang w:eastAsia="hu-HU"/>
              </w:rPr>
              <w:t>_</w:t>
            </w:r>
            <w:proofErr w:type="spellStart"/>
            <w:r w:rsidRPr="00767DD2">
              <w:rPr>
                <w:rFonts w:ascii="Arial" w:eastAsia="Times New Roman" w:hAnsi="Arial" w:cs="Arial"/>
                <w:sz w:val="20"/>
                <w:szCs w:val="20"/>
                <w:lang w:eastAsia="hu-HU"/>
              </w:rPr>
              <w:t>max</w:t>
            </w:r>
            <w:proofErr w:type="spellEnd"/>
          </w:p>
        </w:tc>
        <w:tc>
          <w:tcPr>
            <w:tcW w:w="760" w:type="dxa"/>
            <w:tcBorders>
              <w:top w:val="single" w:sz="4" w:space="0" w:color="000000"/>
              <w:left w:val="nil"/>
              <w:bottom w:val="nil"/>
              <w:right w:val="single" w:sz="4" w:space="0" w:color="000000"/>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roofErr w:type="spellStart"/>
            <w:r w:rsidRPr="00767DD2">
              <w:rPr>
                <w:rFonts w:ascii="Arial" w:eastAsia="Times New Roman" w:hAnsi="Arial" w:cs="Arial"/>
                <w:sz w:val="20"/>
                <w:szCs w:val="20"/>
                <w:lang w:eastAsia="hu-HU"/>
              </w:rPr>
              <w:t>Y0</w:t>
            </w:r>
            <w:proofErr w:type="spellEnd"/>
            <w:r w:rsidRPr="00767DD2">
              <w:rPr>
                <w:rFonts w:ascii="Arial" w:eastAsia="Times New Roman" w:hAnsi="Arial" w:cs="Arial"/>
                <w:sz w:val="20"/>
                <w:szCs w:val="20"/>
                <w:lang w:eastAsia="hu-HU"/>
              </w:rPr>
              <w:t>_min</w:t>
            </w:r>
          </w:p>
        </w:tc>
        <w:tc>
          <w:tcPr>
            <w:tcW w:w="1080" w:type="dxa"/>
            <w:tcBorders>
              <w:top w:val="nil"/>
              <w:left w:val="nil"/>
              <w:bottom w:val="nil"/>
              <w:right w:val="nil"/>
            </w:tcBorders>
            <w:shd w:val="clear" w:color="auto" w:fill="auto"/>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r w:rsidRPr="00767DD2">
              <w:rPr>
                <w:rFonts w:ascii="Arial" w:eastAsia="Times New Roman" w:hAnsi="Arial" w:cs="Arial"/>
                <w:sz w:val="20"/>
                <w:szCs w:val="20"/>
                <w:lang w:eastAsia="hu-HU"/>
              </w:rPr>
              <w:t>sum</w:t>
            </w:r>
          </w:p>
        </w:tc>
      </w:tr>
      <w:tr w:rsidR="00767DD2" w:rsidRPr="00767DD2" w:rsidTr="00220DB9">
        <w:trPr>
          <w:trHeight w:val="255"/>
          <w:jc w:val="center"/>
        </w:trPr>
        <w:tc>
          <w:tcPr>
            <w:tcW w:w="1900" w:type="dxa"/>
            <w:tcBorders>
              <w:top w:val="single" w:sz="4" w:space="0" w:color="000000"/>
              <w:left w:val="single" w:sz="4" w:space="0" w:color="000000"/>
              <w:bottom w:val="nil"/>
              <w:right w:val="nil"/>
            </w:tcBorders>
            <w:shd w:val="clear" w:color="000000" w:fill="FFFF00"/>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roofErr w:type="spellStart"/>
            <w:r w:rsidRPr="00767DD2">
              <w:rPr>
                <w:rFonts w:ascii="Arial" w:eastAsia="Times New Roman" w:hAnsi="Arial" w:cs="Arial"/>
                <w:sz w:val="20"/>
                <w:szCs w:val="20"/>
                <w:lang w:eastAsia="hu-HU"/>
              </w:rPr>
              <w:t>Erfolg</w:t>
            </w:r>
            <w:proofErr w:type="spellEnd"/>
          </w:p>
        </w:tc>
        <w:tc>
          <w:tcPr>
            <w:tcW w:w="1080" w:type="dxa"/>
            <w:tcBorders>
              <w:top w:val="single" w:sz="4" w:space="0" w:color="000000"/>
              <w:left w:val="single" w:sz="4" w:space="0" w:color="000000"/>
              <w:bottom w:val="nil"/>
              <w:right w:val="nil"/>
            </w:tcBorders>
            <w:shd w:val="clear" w:color="000000" w:fill="FFFF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6</w:t>
            </w:r>
          </w:p>
        </w:tc>
        <w:tc>
          <w:tcPr>
            <w:tcW w:w="760" w:type="dxa"/>
            <w:tcBorders>
              <w:top w:val="single" w:sz="4" w:space="0" w:color="000000"/>
              <w:left w:val="nil"/>
              <w:bottom w:val="nil"/>
              <w:right w:val="single" w:sz="4" w:space="0" w:color="000000"/>
            </w:tcBorders>
            <w:shd w:val="clear" w:color="000000" w:fill="FFFF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2</w:t>
            </w:r>
          </w:p>
        </w:tc>
        <w:tc>
          <w:tcPr>
            <w:tcW w:w="1080" w:type="dxa"/>
            <w:tcBorders>
              <w:top w:val="nil"/>
              <w:left w:val="nil"/>
              <w:bottom w:val="nil"/>
              <w:right w:val="nil"/>
            </w:tcBorders>
            <w:shd w:val="clear" w:color="000000" w:fill="FFFF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8</w:t>
            </w:r>
          </w:p>
        </w:tc>
      </w:tr>
      <w:tr w:rsidR="00767DD2" w:rsidRPr="00767DD2" w:rsidTr="00220DB9">
        <w:trPr>
          <w:trHeight w:val="255"/>
          <w:jc w:val="center"/>
        </w:trPr>
        <w:tc>
          <w:tcPr>
            <w:tcW w:w="1900" w:type="dxa"/>
            <w:tcBorders>
              <w:top w:val="nil"/>
              <w:left w:val="single" w:sz="4" w:space="0" w:color="000000"/>
              <w:bottom w:val="nil"/>
              <w:right w:val="nil"/>
            </w:tcBorders>
            <w:shd w:val="clear" w:color="000000" w:fill="FF0000"/>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roofErr w:type="spellStart"/>
            <w:r w:rsidRPr="00767DD2">
              <w:rPr>
                <w:rFonts w:ascii="Arial" w:eastAsia="Times New Roman" w:hAnsi="Arial" w:cs="Arial"/>
                <w:sz w:val="20"/>
                <w:szCs w:val="20"/>
                <w:lang w:eastAsia="hu-HU"/>
              </w:rPr>
              <w:t>Finanzierung</w:t>
            </w:r>
            <w:proofErr w:type="spellEnd"/>
          </w:p>
        </w:tc>
        <w:tc>
          <w:tcPr>
            <w:tcW w:w="1080" w:type="dxa"/>
            <w:tcBorders>
              <w:top w:val="nil"/>
              <w:left w:val="single" w:sz="4" w:space="0" w:color="000000"/>
              <w:bottom w:val="nil"/>
              <w:right w:val="nil"/>
            </w:tcBorders>
            <w:shd w:val="clear" w:color="000000" w:fill="FF00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4</w:t>
            </w:r>
          </w:p>
        </w:tc>
        <w:tc>
          <w:tcPr>
            <w:tcW w:w="760" w:type="dxa"/>
            <w:tcBorders>
              <w:top w:val="nil"/>
              <w:left w:val="nil"/>
              <w:bottom w:val="nil"/>
              <w:right w:val="single" w:sz="4" w:space="0" w:color="000000"/>
            </w:tcBorders>
            <w:shd w:val="clear" w:color="000000" w:fill="FF00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8</w:t>
            </w:r>
          </w:p>
        </w:tc>
        <w:tc>
          <w:tcPr>
            <w:tcW w:w="1080" w:type="dxa"/>
            <w:tcBorders>
              <w:top w:val="nil"/>
              <w:left w:val="nil"/>
              <w:bottom w:val="nil"/>
              <w:right w:val="nil"/>
            </w:tcBorders>
            <w:shd w:val="clear" w:color="000000" w:fill="FF00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12</w:t>
            </w:r>
          </w:p>
        </w:tc>
      </w:tr>
      <w:tr w:rsidR="00767DD2" w:rsidRPr="00767DD2" w:rsidTr="00220DB9">
        <w:trPr>
          <w:trHeight w:val="255"/>
          <w:jc w:val="center"/>
        </w:trPr>
        <w:tc>
          <w:tcPr>
            <w:tcW w:w="1900" w:type="dxa"/>
            <w:tcBorders>
              <w:top w:val="nil"/>
              <w:left w:val="single" w:sz="4" w:space="0" w:color="000000"/>
              <w:bottom w:val="nil"/>
              <w:right w:val="nil"/>
            </w:tcBorders>
            <w:shd w:val="clear" w:color="000000" w:fill="92D050"/>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roofErr w:type="spellStart"/>
            <w:r w:rsidRPr="00767DD2">
              <w:rPr>
                <w:rFonts w:ascii="Arial" w:eastAsia="Times New Roman" w:hAnsi="Arial" w:cs="Arial"/>
                <w:sz w:val="20"/>
                <w:szCs w:val="20"/>
                <w:lang w:eastAsia="hu-HU"/>
              </w:rPr>
              <w:t>KriseVerschuldung</w:t>
            </w:r>
            <w:proofErr w:type="spellEnd"/>
          </w:p>
        </w:tc>
        <w:tc>
          <w:tcPr>
            <w:tcW w:w="1080" w:type="dxa"/>
            <w:tcBorders>
              <w:top w:val="nil"/>
              <w:left w:val="single" w:sz="4" w:space="0" w:color="000000"/>
              <w:bottom w:val="nil"/>
              <w:right w:val="nil"/>
            </w:tcBorders>
            <w:shd w:val="clear" w:color="000000" w:fill="92D05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2</w:t>
            </w:r>
          </w:p>
        </w:tc>
        <w:tc>
          <w:tcPr>
            <w:tcW w:w="760" w:type="dxa"/>
            <w:tcBorders>
              <w:top w:val="nil"/>
              <w:left w:val="nil"/>
              <w:bottom w:val="nil"/>
              <w:right w:val="single" w:sz="4" w:space="0" w:color="000000"/>
            </w:tcBorders>
            <w:shd w:val="clear" w:color="000000" w:fill="92D05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7</w:t>
            </w:r>
          </w:p>
        </w:tc>
        <w:tc>
          <w:tcPr>
            <w:tcW w:w="1080" w:type="dxa"/>
            <w:tcBorders>
              <w:top w:val="nil"/>
              <w:left w:val="nil"/>
              <w:bottom w:val="nil"/>
              <w:right w:val="nil"/>
            </w:tcBorders>
            <w:shd w:val="clear" w:color="000000" w:fill="92D05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9</w:t>
            </w:r>
          </w:p>
        </w:tc>
      </w:tr>
      <w:tr w:rsidR="00767DD2" w:rsidRPr="00767DD2" w:rsidTr="00220DB9">
        <w:trPr>
          <w:trHeight w:val="255"/>
          <w:jc w:val="center"/>
        </w:trPr>
        <w:tc>
          <w:tcPr>
            <w:tcW w:w="1900" w:type="dxa"/>
            <w:tcBorders>
              <w:top w:val="nil"/>
              <w:left w:val="single" w:sz="4" w:space="0" w:color="000000"/>
              <w:bottom w:val="nil"/>
              <w:right w:val="nil"/>
            </w:tcBorders>
            <w:shd w:val="clear" w:color="000000" w:fill="FFFF00"/>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roofErr w:type="spellStart"/>
            <w:r w:rsidRPr="00767DD2">
              <w:rPr>
                <w:rFonts w:ascii="Arial" w:eastAsia="Times New Roman" w:hAnsi="Arial" w:cs="Arial"/>
                <w:sz w:val="20"/>
                <w:szCs w:val="20"/>
                <w:lang w:eastAsia="hu-HU"/>
              </w:rPr>
              <w:t>Liquiditaet</w:t>
            </w:r>
            <w:proofErr w:type="spellEnd"/>
          </w:p>
        </w:tc>
        <w:tc>
          <w:tcPr>
            <w:tcW w:w="1080" w:type="dxa"/>
            <w:tcBorders>
              <w:top w:val="nil"/>
              <w:left w:val="single" w:sz="4" w:space="0" w:color="000000"/>
              <w:bottom w:val="nil"/>
              <w:right w:val="nil"/>
            </w:tcBorders>
            <w:shd w:val="clear" w:color="000000" w:fill="FFFF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3</w:t>
            </w:r>
          </w:p>
        </w:tc>
        <w:tc>
          <w:tcPr>
            <w:tcW w:w="760" w:type="dxa"/>
            <w:tcBorders>
              <w:top w:val="nil"/>
              <w:left w:val="nil"/>
              <w:bottom w:val="nil"/>
              <w:right w:val="single" w:sz="4" w:space="0" w:color="000000"/>
            </w:tcBorders>
            <w:shd w:val="clear" w:color="000000" w:fill="FFFF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5</w:t>
            </w:r>
          </w:p>
        </w:tc>
        <w:tc>
          <w:tcPr>
            <w:tcW w:w="1080" w:type="dxa"/>
            <w:tcBorders>
              <w:top w:val="nil"/>
              <w:left w:val="nil"/>
              <w:bottom w:val="nil"/>
              <w:right w:val="nil"/>
            </w:tcBorders>
            <w:shd w:val="clear" w:color="000000" w:fill="FFFF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8</w:t>
            </w:r>
          </w:p>
        </w:tc>
      </w:tr>
      <w:tr w:rsidR="00767DD2" w:rsidRPr="00767DD2" w:rsidTr="00220DB9">
        <w:trPr>
          <w:trHeight w:val="255"/>
          <w:jc w:val="center"/>
        </w:trPr>
        <w:tc>
          <w:tcPr>
            <w:tcW w:w="1900" w:type="dxa"/>
            <w:tcBorders>
              <w:top w:val="nil"/>
              <w:left w:val="single" w:sz="4" w:space="0" w:color="000000"/>
              <w:bottom w:val="nil"/>
              <w:right w:val="nil"/>
            </w:tcBorders>
            <w:shd w:val="clear" w:color="000000" w:fill="FFFF00"/>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roofErr w:type="spellStart"/>
            <w:r w:rsidRPr="00767DD2">
              <w:rPr>
                <w:rFonts w:ascii="Arial" w:eastAsia="Times New Roman" w:hAnsi="Arial" w:cs="Arial"/>
                <w:sz w:val="20"/>
                <w:szCs w:val="20"/>
                <w:lang w:eastAsia="hu-HU"/>
              </w:rPr>
              <w:t>Produktivitat</w:t>
            </w:r>
            <w:proofErr w:type="spellEnd"/>
          </w:p>
        </w:tc>
        <w:tc>
          <w:tcPr>
            <w:tcW w:w="1080" w:type="dxa"/>
            <w:tcBorders>
              <w:top w:val="nil"/>
              <w:left w:val="single" w:sz="4" w:space="0" w:color="000000"/>
              <w:bottom w:val="nil"/>
              <w:right w:val="nil"/>
            </w:tcBorders>
            <w:shd w:val="clear" w:color="000000" w:fill="FFFF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1</w:t>
            </w:r>
          </w:p>
        </w:tc>
        <w:tc>
          <w:tcPr>
            <w:tcW w:w="760" w:type="dxa"/>
            <w:tcBorders>
              <w:top w:val="nil"/>
              <w:left w:val="nil"/>
              <w:bottom w:val="nil"/>
              <w:right w:val="single" w:sz="4" w:space="0" w:color="000000"/>
            </w:tcBorders>
            <w:shd w:val="clear" w:color="000000" w:fill="FFFF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6</w:t>
            </w:r>
          </w:p>
        </w:tc>
        <w:tc>
          <w:tcPr>
            <w:tcW w:w="1080" w:type="dxa"/>
            <w:tcBorders>
              <w:top w:val="nil"/>
              <w:left w:val="nil"/>
              <w:bottom w:val="nil"/>
              <w:right w:val="nil"/>
            </w:tcBorders>
            <w:shd w:val="clear" w:color="000000" w:fill="FFFF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7</w:t>
            </w:r>
          </w:p>
        </w:tc>
      </w:tr>
      <w:tr w:rsidR="00767DD2" w:rsidRPr="00767DD2" w:rsidTr="00220DB9">
        <w:trPr>
          <w:trHeight w:val="255"/>
          <w:jc w:val="center"/>
        </w:trPr>
        <w:tc>
          <w:tcPr>
            <w:tcW w:w="1900" w:type="dxa"/>
            <w:tcBorders>
              <w:top w:val="nil"/>
              <w:left w:val="single" w:sz="4" w:space="0" w:color="000000"/>
              <w:bottom w:val="nil"/>
              <w:right w:val="nil"/>
            </w:tcBorders>
            <w:shd w:val="clear" w:color="000000" w:fill="92D050"/>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roofErr w:type="spellStart"/>
            <w:r w:rsidRPr="00767DD2">
              <w:rPr>
                <w:rFonts w:ascii="Arial" w:eastAsia="Times New Roman" w:hAnsi="Arial" w:cs="Arial"/>
                <w:sz w:val="20"/>
                <w:szCs w:val="20"/>
                <w:lang w:eastAsia="hu-HU"/>
              </w:rPr>
              <w:t>Rentabilitat</w:t>
            </w:r>
            <w:proofErr w:type="spellEnd"/>
          </w:p>
        </w:tc>
        <w:tc>
          <w:tcPr>
            <w:tcW w:w="1080" w:type="dxa"/>
            <w:tcBorders>
              <w:top w:val="nil"/>
              <w:left w:val="single" w:sz="4" w:space="0" w:color="000000"/>
              <w:bottom w:val="nil"/>
              <w:right w:val="nil"/>
            </w:tcBorders>
            <w:shd w:val="clear" w:color="000000" w:fill="92D05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5</w:t>
            </w:r>
          </w:p>
        </w:tc>
        <w:tc>
          <w:tcPr>
            <w:tcW w:w="760" w:type="dxa"/>
            <w:tcBorders>
              <w:top w:val="nil"/>
              <w:left w:val="nil"/>
              <w:bottom w:val="nil"/>
              <w:right w:val="single" w:sz="4" w:space="0" w:color="000000"/>
            </w:tcBorders>
            <w:shd w:val="clear" w:color="000000" w:fill="92D05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4</w:t>
            </w:r>
          </w:p>
        </w:tc>
        <w:tc>
          <w:tcPr>
            <w:tcW w:w="1080" w:type="dxa"/>
            <w:tcBorders>
              <w:top w:val="nil"/>
              <w:left w:val="nil"/>
              <w:bottom w:val="nil"/>
              <w:right w:val="nil"/>
            </w:tcBorders>
            <w:shd w:val="clear" w:color="000000" w:fill="92D05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9</w:t>
            </w:r>
          </w:p>
        </w:tc>
      </w:tr>
      <w:tr w:rsidR="00767DD2" w:rsidRPr="00767DD2" w:rsidTr="00220DB9">
        <w:trPr>
          <w:trHeight w:val="255"/>
          <w:jc w:val="center"/>
        </w:trPr>
        <w:tc>
          <w:tcPr>
            <w:tcW w:w="1900" w:type="dxa"/>
            <w:tcBorders>
              <w:top w:val="nil"/>
              <w:left w:val="single" w:sz="4" w:space="0" w:color="000000"/>
              <w:bottom w:val="nil"/>
              <w:right w:val="nil"/>
            </w:tcBorders>
            <w:shd w:val="clear" w:color="000000" w:fill="FFFF00"/>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roofErr w:type="spellStart"/>
            <w:r w:rsidRPr="00767DD2">
              <w:rPr>
                <w:rFonts w:ascii="Arial" w:eastAsia="Times New Roman" w:hAnsi="Arial" w:cs="Arial"/>
                <w:sz w:val="20"/>
                <w:szCs w:val="20"/>
                <w:lang w:eastAsia="hu-HU"/>
              </w:rPr>
              <w:t>Stabilitat</w:t>
            </w:r>
            <w:proofErr w:type="spellEnd"/>
          </w:p>
        </w:tc>
        <w:tc>
          <w:tcPr>
            <w:tcW w:w="1080" w:type="dxa"/>
            <w:tcBorders>
              <w:top w:val="nil"/>
              <w:left w:val="single" w:sz="4" w:space="0" w:color="000000"/>
              <w:bottom w:val="nil"/>
              <w:right w:val="nil"/>
            </w:tcBorders>
            <w:shd w:val="clear" w:color="000000" w:fill="FFFF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7</w:t>
            </w:r>
          </w:p>
        </w:tc>
        <w:tc>
          <w:tcPr>
            <w:tcW w:w="760" w:type="dxa"/>
            <w:tcBorders>
              <w:top w:val="nil"/>
              <w:left w:val="nil"/>
              <w:bottom w:val="nil"/>
              <w:right w:val="single" w:sz="4" w:space="0" w:color="000000"/>
            </w:tcBorders>
            <w:shd w:val="clear" w:color="000000" w:fill="FFFF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1</w:t>
            </w:r>
          </w:p>
        </w:tc>
        <w:tc>
          <w:tcPr>
            <w:tcW w:w="1080" w:type="dxa"/>
            <w:tcBorders>
              <w:top w:val="nil"/>
              <w:left w:val="nil"/>
              <w:bottom w:val="nil"/>
              <w:right w:val="nil"/>
            </w:tcBorders>
            <w:shd w:val="clear" w:color="000000" w:fill="FFFF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8</w:t>
            </w:r>
          </w:p>
        </w:tc>
      </w:tr>
      <w:tr w:rsidR="00767DD2" w:rsidRPr="00767DD2" w:rsidTr="00220DB9">
        <w:trPr>
          <w:trHeight w:val="255"/>
          <w:jc w:val="center"/>
        </w:trPr>
        <w:tc>
          <w:tcPr>
            <w:tcW w:w="1900" w:type="dxa"/>
            <w:tcBorders>
              <w:top w:val="nil"/>
              <w:left w:val="single" w:sz="4" w:space="0" w:color="000000"/>
              <w:bottom w:val="single" w:sz="4" w:space="0" w:color="000000"/>
              <w:right w:val="nil"/>
            </w:tcBorders>
            <w:shd w:val="clear" w:color="000000" w:fill="FF0000"/>
            <w:noWrap/>
            <w:vAlign w:val="bottom"/>
            <w:hideMark/>
          </w:tcPr>
          <w:p w:rsidR="00767DD2" w:rsidRPr="00767DD2" w:rsidRDefault="00767DD2" w:rsidP="00767DD2">
            <w:pPr>
              <w:spacing w:after="0" w:line="240" w:lineRule="auto"/>
              <w:rPr>
                <w:rFonts w:ascii="Arial" w:eastAsia="Times New Roman" w:hAnsi="Arial" w:cs="Arial"/>
                <w:sz w:val="20"/>
                <w:szCs w:val="20"/>
                <w:lang w:eastAsia="hu-HU"/>
              </w:rPr>
            </w:pPr>
            <w:proofErr w:type="spellStart"/>
            <w:r w:rsidRPr="00767DD2">
              <w:rPr>
                <w:rFonts w:ascii="Arial" w:eastAsia="Times New Roman" w:hAnsi="Arial" w:cs="Arial"/>
                <w:sz w:val="20"/>
                <w:szCs w:val="20"/>
                <w:lang w:eastAsia="hu-HU"/>
              </w:rPr>
              <w:t>Wirtschaftlichkeit</w:t>
            </w:r>
            <w:proofErr w:type="spellEnd"/>
          </w:p>
        </w:tc>
        <w:tc>
          <w:tcPr>
            <w:tcW w:w="1080" w:type="dxa"/>
            <w:tcBorders>
              <w:top w:val="nil"/>
              <w:left w:val="single" w:sz="4" w:space="0" w:color="000000"/>
              <w:bottom w:val="single" w:sz="4" w:space="0" w:color="000000"/>
              <w:right w:val="nil"/>
            </w:tcBorders>
            <w:shd w:val="clear" w:color="000000" w:fill="FF00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8</w:t>
            </w:r>
          </w:p>
        </w:tc>
        <w:tc>
          <w:tcPr>
            <w:tcW w:w="760" w:type="dxa"/>
            <w:tcBorders>
              <w:top w:val="nil"/>
              <w:left w:val="nil"/>
              <w:bottom w:val="single" w:sz="4" w:space="0" w:color="000000"/>
              <w:right w:val="single" w:sz="4" w:space="0" w:color="000000"/>
            </w:tcBorders>
            <w:shd w:val="clear" w:color="000000" w:fill="FF00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3</w:t>
            </w:r>
          </w:p>
        </w:tc>
        <w:tc>
          <w:tcPr>
            <w:tcW w:w="1080" w:type="dxa"/>
            <w:tcBorders>
              <w:top w:val="nil"/>
              <w:left w:val="nil"/>
              <w:bottom w:val="nil"/>
              <w:right w:val="nil"/>
            </w:tcBorders>
            <w:shd w:val="clear" w:color="000000" w:fill="FF0000"/>
            <w:noWrap/>
            <w:vAlign w:val="bottom"/>
            <w:hideMark/>
          </w:tcPr>
          <w:p w:rsidR="00767DD2" w:rsidRPr="00767DD2" w:rsidRDefault="00767DD2" w:rsidP="00767DD2">
            <w:pPr>
              <w:spacing w:after="0" w:line="240" w:lineRule="auto"/>
              <w:jc w:val="right"/>
              <w:rPr>
                <w:rFonts w:ascii="Arial" w:eastAsia="Times New Roman" w:hAnsi="Arial" w:cs="Arial"/>
                <w:sz w:val="20"/>
                <w:szCs w:val="20"/>
                <w:lang w:eastAsia="hu-HU"/>
              </w:rPr>
            </w:pPr>
            <w:r w:rsidRPr="00767DD2">
              <w:rPr>
                <w:rFonts w:ascii="Arial" w:eastAsia="Times New Roman" w:hAnsi="Arial" w:cs="Arial"/>
                <w:sz w:val="20"/>
                <w:szCs w:val="20"/>
                <w:lang w:eastAsia="hu-HU"/>
              </w:rPr>
              <w:t>11</w:t>
            </w:r>
          </w:p>
        </w:tc>
      </w:tr>
    </w:tbl>
    <w:p w:rsidR="00220DB9" w:rsidRDefault="00220DB9" w:rsidP="00220DB9">
      <w:pPr>
        <w:pStyle w:val="Listaszerbekezds"/>
      </w:pPr>
    </w:p>
    <w:p w:rsidR="00767DD2" w:rsidRDefault="00767DD2" w:rsidP="00220DB9">
      <w:pPr>
        <w:pStyle w:val="Listaszerbekezds"/>
        <w:numPr>
          <w:ilvl w:val="0"/>
          <w:numId w:val="1"/>
        </w:numPr>
        <w:jc w:val="center"/>
      </w:pPr>
      <w:r>
        <w:t xml:space="preserve">táblázat: </w:t>
      </w:r>
      <w:r w:rsidR="007B7BE7">
        <w:t>Hasznosíthatósági szintek (forrás: saját számítások)</w:t>
      </w:r>
    </w:p>
    <w:p w:rsidR="00220DB9" w:rsidRDefault="00220DB9" w:rsidP="00220DB9">
      <w:pPr>
        <w:jc w:val="center"/>
      </w:pPr>
    </w:p>
    <w:p w:rsidR="00220DB9" w:rsidRDefault="00220DB9" w:rsidP="00220DB9">
      <w:pPr>
        <w:pStyle w:val="Cmsor2"/>
      </w:pPr>
      <w:r>
        <w:t>Összefoglalás</w:t>
      </w:r>
    </w:p>
    <w:p w:rsidR="00220DB9" w:rsidRDefault="00220DB9" w:rsidP="00220DB9">
      <w:pPr>
        <w:jc w:val="both"/>
      </w:pPr>
    </w:p>
    <w:p w:rsidR="00220DB9" w:rsidRDefault="00220DB9" w:rsidP="00220DB9">
      <w:pPr>
        <w:jc w:val="both"/>
      </w:pPr>
      <w:r>
        <w:t>A faktoranalízis találgatásra alapozó felhasználásával szemben a hasonlóságelemzés önellenőrző logikája egyértelmű végeredményt ad a feldolgozott tartalomra vonatkozó mindennemű emberi elő- vagy utóértelmezés nélkül is.</w:t>
      </w:r>
    </w:p>
    <w:p w:rsidR="00220DB9" w:rsidRDefault="00220DB9" w:rsidP="00220DB9"/>
    <w:p w:rsidR="007B7BE7" w:rsidRDefault="007B7BE7" w:rsidP="00220DB9">
      <w:pPr>
        <w:jc w:val="center"/>
      </w:pPr>
      <w:r w:rsidRPr="007B7BE7">
        <w:rPr>
          <w:noProof/>
          <w:lang w:eastAsia="hu-HU"/>
        </w:rPr>
        <w:lastRenderedPageBreak/>
        <w:drawing>
          <wp:inline distT="0" distB="0" distL="0" distR="0">
            <wp:extent cx="5759355" cy="7724633"/>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60720" cy="7726464"/>
                    </a:xfrm>
                    <a:prstGeom prst="rect">
                      <a:avLst/>
                    </a:prstGeom>
                    <a:noFill/>
                    <a:ln w="9525">
                      <a:noFill/>
                      <a:miter lim="800000"/>
                      <a:headEnd/>
                      <a:tailEnd/>
                    </a:ln>
                  </pic:spPr>
                </pic:pic>
              </a:graphicData>
            </a:graphic>
          </wp:inline>
        </w:drawing>
      </w:r>
    </w:p>
    <w:p w:rsidR="00B47F16" w:rsidRDefault="007B7BE7" w:rsidP="00220DB9">
      <w:pPr>
        <w:pStyle w:val="Listaszerbekezds"/>
        <w:numPr>
          <w:ilvl w:val="0"/>
          <w:numId w:val="1"/>
        </w:numPr>
        <w:jc w:val="center"/>
      </w:pPr>
      <w:r>
        <w:t>táblázat: Krízis-mutatószámok információs értéke (forrás: saját számítások)</w:t>
      </w:r>
    </w:p>
    <w:p w:rsidR="00220DB9" w:rsidRDefault="00220DB9">
      <w:pPr>
        <w:rPr>
          <w:rFonts w:asciiTheme="majorHAnsi" w:eastAsiaTheme="majorEastAsia" w:hAnsiTheme="majorHAnsi" w:cstheme="majorBidi"/>
          <w:b/>
          <w:bCs/>
          <w:color w:val="4F81BD" w:themeColor="accent1"/>
          <w:sz w:val="26"/>
          <w:szCs w:val="26"/>
        </w:rPr>
      </w:pPr>
      <w:r>
        <w:br w:type="page"/>
      </w:r>
    </w:p>
    <w:p w:rsidR="003572AE" w:rsidRDefault="003572AE" w:rsidP="003572AE">
      <w:pPr>
        <w:pStyle w:val="Cmsor2"/>
      </w:pPr>
      <w:r>
        <w:lastRenderedPageBreak/>
        <w:t>Irodalomjegyzék</w:t>
      </w:r>
    </w:p>
    <w:p w:rsidR="003572AE" w:rsidRDefault="003572AE">
      <w:r>
        <w:t xml:space="preserve">[1] Sajtos László, </w:t>
      </w:r>
      <w:proofErr w:type="spellStart"/>
      <w:r>
        <w:t>Mitev</w:t>
      </w:r>
      <w:proofErr w:type="spellEnd"/>
      <w:r>
        <w:t xml:space="preserve"> Ariel, 2007: </w:t>
      </w:r>
      <w:proofErr w:type="spellStart"/>
      <w:r>
        <w:t>SPSS</w:t>
      </w:r>
      <w:proofErr w:type="spellEnd"/>
      <w:r>
        <w:t xml:space="preserve"> kutatási és adatelemzési kézikönyv, </w:t>
      </w:r>
      <w:proofErr w:type="spellStart"/>
      <w:r>
        <w:t>Alinea</w:t>
      </w:r>
      <w:proofErr w:type="spellEnd"/>
      <w:r>
        <w:t xml:space="preserve"> Kiadó, Budapest</w:t>
      </w:r>
    </w:p>
    <w:p w:rsidR="003572AE" w:rsidRDefault="003572AE">
      <w:r>
        <w:t xml:space="preserve">[2] Pitlik László, 2009: </w:t>
      </w:r>
      <w:r w:rsidR="00B47F16">
        <w:t xml:space="preserve">Faktoranalízis hasonlóságelemzéssel, </w:t>
      </w:r>
      <w:hyperlink r:id="rId7" w:history="1">
        <w:r w:rsidRPr="00363F42">
          <w:rPr>
            <w:rStyle w:val="Hiperhivatkozs"/>
          </w:rPr>
          <w:t>http://</w:t>
        </w:r>
        <w:proofErr w:type="spellStart"/>
        <w:r w:rsidRPr="00363F42">
          <w:rPr>
            <w:rStyle w:val="Hiperhivatkozs"/>
          </w:rPr>
          <w:t>miau.gau.hu</w:t>
        </w:r>
        <w:proofErr w:type="spellEnd"/>
        <w:r w:rsidRPr="00363F42">
          <w:rPr>
            <w:rStyle w:val="Hiperhivatkozs"/>
          </w:rPr>
          <w:t>/miau/131/</w:t>
        </w:r>
        <w:proofErr w:type="spellStart"/>
        <w:r w:rsidRPr="00363F42">
          <w:rPr>
            <w:rStyle w:val="Hiperhivatkozs"/>
          </w:rPr>
          <w:t>kennzahl.xls</w:t>
        </w:r>
        <w:proofErr w:type="spellEnd"/>
      </w:hyperlink>
      <w:r>
        <w:t xml:space="preserve">, </w:t>
      </w:r>
      <w:proofErr w:type="spellStart"/>
      <w:r>
        <w:t>MIAÚ</w:t>
      </w:r>
      <w:proofErr w:type="spellEnd"/>
      <w:r>
        <w:t xml:space="preserve">, </w:t>
      </w:r>
      <w:proofErr w:type="spellStart"/>
      <w:proofErr w:type="gramStart"/>
      <w:r>
        <w:t>No</w:t>
      </w:r>
      <w:proofErr w:type="gramEnd"/>
      <w:r>
        <w:t>.131</w:t>
      </w:r>
      <w:proofErr w:type="spellEnd"/>
    </w:p>
    <w:p w:rsidR="00925B99" w:rsidRDefault="00B47F16">
      <w:r>
        <w:t xml:space="preserve">[3] Kurt </w:t>
      </w:r>
      <w:proofErr w:type="spellStart"/>
      <w:r>
        <w:t>Vonneguth</w:t>
      </w:r>
      <w:proofErr w:type="spellEnd"/>
      <w:r>
        <w:t xml:space="preserve"> </w:t>
      </w:r>
      <w:r w:rsidR="004B082A">
        <w:t>„</w:t>
      </w:r>
      <w:proofErr w:type="spellStart"/>
      <w:r w:rsidR="004B082A">
        <w:t>Hocus</w:t>
      </w:r>
      <w:proofErr w:type="spellEnd"/>
      <w:r w:rsidR="004B082A">
        <w:t xml:space="preserve"> </w:t>
      </w:r>
      <w:proofErr w:type="spellStart"/>
      <w:r w:rsidR="004B082A">
        <w:t>Pocus</w:t>
      </w:r>
      <w:proofErr w:type="spellEnd"/>
      <w:r w:rsidR="004B082A">
        <w:t xml:space="preserve">” </w:t>
      </w:r>
      <w:r>
        <w:t xml:space="preserve">/ Sápi András, Kovács László, </w:t>
      </w:r>
      <w:proofErr w:type="spellStart"/>
      <w:r>
        <w:t>Troll</w:t>
      </w:r>
      <w:proofErr w:type="spellEnd"/>
      <w:r>
        <w:t xml:space="preserve"> Gergely, 2010: 3888, avagy a semmitmondó művészet, </w:t>
      </w:r>
      <w:proofErr w:type="spellStart"/>
      <w:r>
        <w:t>InnoHow</w:t>
      </w:r>
      <w:proofErr w:type="spellEnd"/>
      <w:r>
        <w:t xml:space="preserve"> Kft, </w:t>
      </w:r>
      <w:hyperlink r:id="rId8" w:history="1">
        <w:r w:rsidR="00220DB9" w:rsidRPr="00EA7D62">
          <w:rPr>
            <w:rStyle w:val="Hiperhivatkozs"/>
          </w:rPr>
          <w:t>http://</w:t>
        </w:r>
        <w:proofErr w:type="spellStart"/>
        <w:r w:rsidR="00220DB9" w:rsidRPr="00EA7D62">
          <w:rPr>
            <w:rStyle w:val="Hiperhivatkozs"/>
          </w:rPr>
          <w:t>innohow.hu</w:t>
        </w:r>
        <w:proofErr w:type="spellEnd"/>
      </w:hyperlink>
      <w:r w:rsidR="00220DB9">
        <w:t xml:space="preserve">, ill. </w:t>
      </w:r>
      <w:hyperlink r:id="rId9" w:history="1">
        <w:r w:rsidR="00925B99" w:rsidRPr="00EA7D62">
          <w:rPr>
            <w:rStyle w:val="Hiperhivatkozs"/>
          </w:rPr>
          <w:t>http://</w:t>
        </w:r>
        <w:proofErr w:type="spellStart"/>
        <w:r w:rsidR="00925B99" w:rsidRPr="00EA7D62">
          <w:rPr>
            <w:rStyle w:val="Hiperhivatkozs"/>
          </w:rPr>
          <w:t>web.archive.org</w:t>
        </w:r>
        <w:proofErr w:type="spellEnd"/>
        <w:r w:rsidR="00925B99" w:rsidRPr="00EA7D62">
          <w:rPr>
            <w:rStyle w:val="Hiperhivatkozs"/>
          </w:rPr>
          <w:t>/web/20140106091618/http://</w:t>
        </w:r>
        <w:proofErr w:type="spellStart"/>
        <w:r w:rsidR="00925B99" w:rsidRPr="00EA7D62">
          <w:rPr>
            <w:rStyle w:val="Hiperhivatkozs"/>
          </w:rPr>
          <w:t>innohow.hu</w:t>
        </w:r>
        <w:proofErr w:type="spellEnd"/>
        <w:r w:rsidR="00925B99" w:rsidRPr="00EA7D62">
          <w:rPr>
            <w:rStyle w:val="Hiperhivatkozs"/>
          </w:rPr>
          <w:t>/</w:t>
        </w:r>
      </w:hyperlink>
    </w:p>
    <w:bookmarkStart w:id="0" w:name="_GoBack"/>
    <w:bookmarkEnd w:id="0"/>
    <w:p w:rsidR="00B47F16" w:rsidRDefault="00220DB9">
      <w:r>
        <w:fldChar w:fldCharType="begin"/>
      </w:r>
      <w:r>
        <w:instrText xml:space="preserve"> HYPERLINK "</w:instrText>
      </w:r>
      <w:r w:rsidRPr="00220DB9">
        <w:instrText>http://transamoebae.blogspot.hu/2000/06/more-gematria-fun-from-kurt-vonnegut.html</w:instrText>
      </w:r>
      <w:r>
        <w:instrText xml:space="preserve">" </w:instrText>
      </w:r>
      <w:r>
        <w:fldChar w:fldCharType="separate"/>
      </w:r>
      <w:proofErr w:type="gramStart"/>
      <w:r w:rsidRPr="00EA7D62">
        <w:rPr>
          <w:rStyle w:val="Hiperhivatkozs"/>
        </w:rPr>
        <w:t>http</w:t>
      </w:r>
      <w:proofErr w:type="gramEnd"/>
      <w:r w:rsidRPr="00EA7D62">
        <w:rPr>
          <w:rStyle w:val="Hiperhivatkozs"/>
        </w:rPr>
        <w:t>://transamoebae.blogspot.hu/2000/06/more-gematria-fun-from-kurt-vonnegut.html</w:t>
      </w:r>
      <w:r>
        <w:fldChar w:fldCharType="end"/>
      </w:r>
      <w:r>
        <w:t xml:space="preserve"> </w:t>
      </w:r>
    </w:p>
    <w:p w:rsidR="00925B99" w:rsidRDefault="00925B99">
      <w:hyperlink r:id="rId10" w:history="1">
        <w:proofErr w:type="gramStart"/>
        <w:r w:rsidRPr="00EA7D62">
          <w:rPr>
            <w:rStyle w:val="Hiperhivatkozs"/>
          </w:rPr>
          <w:t>http</w:t>
        </w:r>
        <w:proofErr w:type="gramEnd"/>
        <w:r w:rsidRPr="00EA7D62">
          <w:rPr>
            <w:rStyle w:val="Hiperhivatkozs"/>
          </w:rPr>
          <w:t>://web.archive.org/web/20130915003844/http://miau.gau.hu/myx-free/index.php3?x=news&amp;_filterText1=*Hocus</w:t>
        </w:r>
      </w:hyperlink>
      <w:r>
        <w:t xml:space="preserve"> </w:t>
      </w:r>
    </w:p>
    <w:p w:rsidR="004B082A" w:rsidRDefault="004B082A"/>
    <w:sectPr w:rsidR="004B082A" w:rsidSect="00AB0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2355"/>
    <w:multiLevelType w:val="hybridMultilevel"/>
    <w:tmpl w:val="5866D4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3572AE"/>
    <w:rsid w:val="00220DB9"/>
    <w:rsid w:val="002756DB"/>
    <w:rsid w:val="003572AE"/>
    <w:rsid w:val="004B082A"/>
    <w:rsid w:val="00583738"/>
    <w:rsid w:val="00767DD2"/>
    <w:rsid w:val="007B7BE7"/>
    <w:rsid w:val="00925B99"/>
    <w:rsid w:val="00AB0142"/>
    <w:rsid w:val="00B47F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0142"/>
  </w:style>
  <w:style w:type="paragraph" w:styleId="Cmsor1">
    <w:name w:val="heading 1"/>
    <w:basedOn w:val="Norml"/>
    <w:next w:val="Norml"/>
    <w:link w:val="Cmsor1Char"/>
    <w:uiPriority w:val="9"/>
    <w:qFormat/>
    <w:rsid w:val="003572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572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572AE"/>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3572AE"/>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3572AE"/>
    <w:rPr>
      <w:color w:val="0000FF" w:themeColor="hyperlink"/>
      <w:u w:val="single"/>
    </w:rPr>
  </w:style>
  <w:style w:type="paragraph" w:styleId="Listaszerbekezds">
    <w:name w:val="List Paragraph"/>
    <w:basedOn w:val="Norml"/>
    <w:uiPriority w:val="34"/>
    <w:qFormat/>
    <w:rsid w:val="00767DD2"/>
    <w:pPr>
      <w:ind w:left="720"/>
      <w:contextualSpacing/>
    </w:pPr>
  </w:style>
  <w:style w:type="paragraph" w:styleId="Buborkszveg">
    <w:name w:val="Balloon Text"/>
    <w:basedOn w:val="Norml"/>
    <w:link w:val="BuborkszvegChar"/>
    <w:uiPriority w:val="99"/>
    <w:semiHidden/>
    <w:unhideWhenUsed/>
    <w:rsid w:val="007B7BE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B7BE7"/>
    <w:rPr>
      <w:rFonts w:ascii="Tahoma" w:hAnsi="Tahoma" w:cs="Tahoma"/>
      <w:sz w:val="16"/>
      <w:szCs w:val="16"/>
    </w:rPr>
  </w:style>
  <w:style w:type="paragraph" w:styleId="Nincstrkz">
    <w:name w:val="No Spacing"/>
    <w:uiPriority w:val="1"/>
    <w:qFormat/>
    <w:rsid w:val="00220DB9"/>
    <w:pPr>
      <w:spacing w:after="0" w:line="240" w:lineRule="auto"/>
    </w:pPr>
  </w:style>
  <w:style w:type="character" w:styleId="Mrltotthiperhivatkozs">
    <w:name w:val="FollowedHyperlink"/>
    <w:basedOn w:val="Bekezdsalapbettpusa"/>
    <w:uiPriority w:val="99"/>
    <w:semiHidden/>
    <w:unhideWhenUsed/>
    <w:rsid w:val="00925B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3050">
      <w:bodyDiv w:val="1"/>
      <w:marLeft w:val="0"/>
      <w:marRight w:val="0"/>
      <w:marTop w:val="0"/>
      <w:marBottom w:val="0"/>
      <w:divBdr>
        <w:top w:val="none" w:sz="0" w:space="0" w:color="auto"/>
        <w:left w:val="none" w:sz="0" w:space="0" w:color="auto"/>
        <w:bottom w:val="none" w:sz="0" w:space="0" w:color="auto"/>
        <w:right w:val="none" w:sz="0" w:space="0" w:color="auto"/>
      </w:divBdr>
    </w:div>
    <w:div w:id="20810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nohow.hu" TargetMode="External"/><Relationship Id="rId3" Type="http://schemas.microsoft.com/office/2007/relationships/stylesWithEffects" Target="stylesWithEffects.xml"/><Relationship Id="rId7" Type="http://schemas.openxmlformats.org/officeDocument/2006/relationships/hyperlink" Target="http://miau.gau.hu/miau/131/kennzahl.x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archive.org/web/20130915003844/http://miau.gau.hu/myx-free/index.php3?x=news&amp;_filterText1=*Hocus" TargetMode="External"/><Relationship Id="rId4" Type="http://schemas.openxmlformats.org/officeDocument/2006/relationships/settings" Target="settings.xml"/><Relationship Id="rId9" Type="http://schemas.openxmlformats.org/officeDocument/2006/relationships/hyperlink" Target="http://web.archive.org/web/20140106091618/http://innohow.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610</Words>
  <Characters>4212</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pl4</dc:creator>
  <cp:lastModifiedBy>pl16</cp:lastModifiedBy>
  <cp:revision>6</cp:revision>
  <dcterms:created xsi:type="dcterms:W3CDTF">2011-09-14T16:13:00Z</dcterms:created>
  <dcterms:modified xsi:type="dcterms:W3CDTF">2015-11-25T17:36:00Z</dcterms:modified>
</cp:coreProperties>
</file>