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8B" w:rsidRDefault="00F83CA7" w:rsidP="00023394">
      <w:pPr>
        <w:pStyle w:val="Cmsor5"/>
        <w:spacing w:before="120" w:after="360"/>
        <w:jc w:val="center"/>
      </w:pPr>
      <w:r>
        <w:t xml:space="preserve">Társadalmi-gazdasági mutatók hatása az </w:t>
      </w:r>
      <w:r w:rsidR="0063451D">
        <w:t>GDP alakulására</w:t>
      </w:r>
      <w:r w:rsidR="00220380">
        <w:t xml:space="preserve"> (COCO </w:t>
      </w:r>
      <w:r w:rsidR="005A2795">
        <w:t>MCM</w:t>
      </w:r>
      <w:r w:rsidR="00353A45" w:rsidRPr="00353A45">
        <w:t xml:space="preserve"> módszerrel</w:t>
      </w:r>
      <w:r w:rsidR="00E5155B">
        <w:t>)</w:t>
      </w:r>
      <w:r w:rsidR="00353A45" w:rsidRPr="00353A45">
        <w:t xml:space="preserve">, </w:t>
      </w:r>
      <w:r>
        <w:t>az EU (</w:t>
      </w:r>
      <w:r w:rsidR="0063451D">
        <w:t>2005-2010</w:t>
      </w:r>
      <w:r>
        <w:t>)</w:t>
      </w:r>
      <w:r w:rsidR="00353A45" w:rsidRPr="00353A45">
        <w:t xml:space="preserve"> adat</w:t>
      </w:r>
      <w:r>
        <w:t>ainak felhasználásával</w:t>
      </w:r>
    </w:p>
    <w:p w:rsidR="0063451D" w:rsidRDefault="009D5358" w:rsidP="00353A45">
      <w:pPr>
        <w:pStyle w:val="Stlus4"/>
      </w:pPr>
      <w:r>
        <w:t xml:space="preserve">Vajon </w:t>
      </w:r>
      <w:r w:rsidR="0071375C" w:rsidRPr="0071375C">
        <w:t xml:space="preserve">a </w:t>
      </w:r>
      <w:r>
        <w:t xml:space="preserve">mindenki által hozzáférhető, publikus adatsorok felhasználásával, egzakt módon meg tudjuk-e mondani, hogy egy-egy gazdasági-társadalmi mutató hogyan és milyen mértékben hat a GDP alakulására? </w:t>
      </w:r>
      <w:r w:rsidR="00F009F2">
        <w:t>Vizsgálatomat azok a politikai és gazdasági témájú cikkek, nyilatkozatok inspirálták, melyekben egyes társadalmi-gazdasági mutatók felhasználásával igyekeznek magyarázni a GDP alakulását</w:t>
      </w:r>
      <w:r w:rsidR="00B0475F">
        <w:t xml:space="preserve"> (vö. GDP-szimulátor)</w:t>
      </w:r>
      <w:r w:rsidR="00F009F2">
        <w:t xml:space="preserve">, mint egy ország legfőbb gazdasági teljesítménymutatóját. A lentiekben részletezett módszerrel mintegy tényfeltáró jelleggel kívánok segítséget nyújtani minden kétkedőnek, mi lehet az igaz egy-egy ilyen </w:t>
      </w:r>
      <w:r w:rsidR="00337E98">
        <w:t xml:space="preserve">szakirodalmi </w:t>
      </w:r>
      <w:r w:rsidR="00F009F2">
        <w:t>fejtegetés</w:t>
      </w:r>
      <w:r>
        <w:t>ből</w:t>
      </w:r>
      <w:r w:rsidR="00F009F2">
        <w:t xml:space="preserve">. </w:t>
      </w:r>
      <w:r w:rsidR="00F83CA7">
        <w:t xml:space="preserve">Annak érdekében, hogy nyugodt lélekkel tehessünk ilyen jellegű kijelentéseket, érdemes előtte az adott mutatót megvizsgálni, hat-e és ha igen, milyen </w:t>
      </w:r>
      <w:r w:rsidR="00337E98">
        <w:t xml:space="preserve">irányban és </w:t>
      </w:r>
      <w:r w:rsidR="00F83CA7">
        <w:t>mértékben a GDP-re. Ehhez a következőkben egy egyszerű metódust mutatok be.</w:t>
      </w:r>
    </w:p>
    <w:p w:rsidR="0045743E" w:rsidRDefault="00F83CA7" w:rsidP="0095318C">
      <w:pPr>
        <w:pStyle w:val="Stlus4"/>
      </w:pPr>
      <w:r>
        <w:t xml:space="preserve">A </w:t>
      </w:r>
      <w:r w:rsidR="0095318C">
        <w:t>vizsgálatot</w:t>
      </w:r>
      <w:r w:rsidR="00E07867">
        <w:t xml:space="preserve"> </w:t>
      </w:r>
      <w:proofErr w:type="spellStart"/>
      <w:r w:rsidR="00337E98">
        <w:t>exploratív</w:t>
      </w:r>
      <w:proofErr w:type="spellEnd"/>
      <w:r w:rsidR="00337E98">
        <w:t xml:space="preserve"> modellezés keretében, </w:t>
      </w:r>
      <w:proofErr w:type="spellStart"/>
      <w:r w:rsidR="00AA7CC3">
        <w:t>COCO</w:t>
      </w:r>
      <w:proofErr w:type="spellEnd"/>
      <w:r w:rsidR="00AA7CC3">
        <w:t xml:space="preserve"> </w:t>
      </w:r>
      <w:r w:rsidR="00E07867" w:rsidRPr="000C5DAB">
        <w:t>Monte Carlo-módszer</w:t>
      </w:r>
      <w:r w:rsidR="0095318C">
        <w:t xml:space="preserve">rel </w:t>
      </w:r>
      <w:r w:rsidR="00B72F11">
        <w:t>(COCO MCM</w:t>
      </w:r>
      <w:r w:rsidR="00AA7CC3">
        <w:t xml:space="preserve">: </w:t>
      </w:r>
      <w:hyperlink r:id="rId8" w:history="1">
        <w:r w:rsidR="00AA7CC3">
          <w:rPr>
            <w:rStyle w:val="Hiperhivatkozs"/>
          </w:rPr>
          <w:t>http://miau.gau.hu/myx-free/coco/index.html</w:t>
        </w:r>
      </w:hyperlink>
      <w:r w:rsidR="00C60D6D">
        <w:t xml:space="preserve">) </w:t>
      </w:r>
      <w:r>
        <w:t>végezt</w:t>
      </w:r>
      <w:r w:rsidR="0095318C">
        <w:t>em</w:t>
      </w:r>
      <w:r w:rsidR="00E07867">
        <w:t>. A</w:t>
      </w:r>
      <w:r w:rsidR="00C60D6D">
        <w:t xml:space="preserve"> </w:t>
      </w:r>
      <w:r w:rsidR="005A2795">
        <w:t xml:space="preserve">klasszikus </w:t>
      </w:r>
      <w:r w:rsidR="00C60D6D">
        <w:t>MCM</w:t>
      </w:r>
      <w:r w:rsidR="00E07867">
        <w:t xml:space="preserve"> egy olyan sztochasztikus szimulációs módszer, amely ál-véletlenszámok generálásának segítségével előállítja egy adott kísérlet valószínűségi modelljét. </w:t>
      </w:r>
      <w:r w:rsidR="00AA7CC3">
        <w:t xml:space="preserve">A COCO MCM azt jelenti, hogy nincs semmilyen korlátozó feltétel megadva a hasonlóságelemzési lépcsőkre (COCO) </w:t>
      </w:r>
      <w:r w:rsidR="008C5B7D">
        <w:t>és</w:t>
      </w:r>
      <w:r w:rsidR="00AA7CC3">
        <w:t xml:space="preserve"> ezt a feladatot meg lehet oldani LP-motor nélkül is - az MCM valódi értelmében véletlenszerű találgatással. </w:t>
      </w:r>
      <w:r w:rsidR="0095318C">
        <w:t>A</w:t>
      </w:r>
      <w:r w:rsidR="00C60D6D">
        <w:t xml:space="preserve"> </w:t>
      </w:r>
      <w:r w:rsidR="00EF5BF4">
        <w:t xml:space="preserve">COCO </w:t>
      </w:r>
      <w:r w:rsidR="00C60D6D">
        <w:t>MCM</w:t>
      </w:r>
      <w:r w:rsidR="00E07867" w:rsidRPr="00E07867">
        <w:t xml:space="preserve"> modellben elkerülhetjük a tényezők s</w:t>
      </w:r>
      <w:r w:rsidR="0095318C">
        <w:t xml:space="preserve">zubjektív irányítását, </w:t>
      </w:r>
      <w:r w:rsidR="0090623E">
        <w:t xml:space="preserve">és a kapott eredményből </w:t>
      </w:r>
      <w:r w:rsidR="009E0986">
        <w:t>óvatos következtetéseket lehet levonni</w:t>
      </w:r>
      <w:r w:rsidR="00E07867" w:rsidRPr="00E07867">
        <w:t>.</w:t>
      </w:r>
    </w:p>
    <w:p w:rsidR="007372B7" w:rsidRPr="00EA6916" w:rsidRDefault="007372B7" w:rsidP="00023394">
      <w:pPr>
        <w:pStyle w:val="Stlus2"/>
        <w:spacing w:before="240"/>
        <w:ind w:left="62"/>
        <w:jc w:val="center"/>
        <w:rPr>
          <w:b/>
          <w:i w:val="0"/>
          <w:u w:val="none"/>
        </w:rPr>
      </w:pPr>
      <w:r w:rsidRPr="00EA6916">
        <w:rPr>
          <w:b/>
          <w:i w:val="0"/>
          <w:u w:val="none"/>
        </w:rPr>
        <w:t>Adatgyűjtés (Adatbázis, Kimutatás, Alapadatok, Származtatott</w:t>
      </w:r>
      <w:r w:rsidR="00EA6916">
        <w:rPr>
          <w:b/>
          <w:i w:val="0"/>
          <w:u w:val="none"/>
        </w:rPr>
        <w:t xml:space="preserve"> (számított)</w:t>
      </w:r>
      <w:r w:rsidRPr="00EA6916">
        <w:rPr>
          <w:b/>
          <w:i w:val="0"/>
          <w:u w:val="none"/>
        </w:rPr>
        <w:t xml:space="preserve"> alapadatok)</w:t>
      </w:r>
    </w:p>
    <w:p w:rsidR="009A29D3" w:rsidRDefault="009A29D3" w:rsidP="009A29D3">
      <w:pPr>
        <w:pStyle w:val="Stlus4"/>
      </w:pPr>
      <w:r>
        <w:t xml:space="preserve">A vizsgálatban </w:t>
      </w:r>
      <w:r w:rsidR="007372B7">
        <w:t xml:space="preserve">a </w:t>
      </w:r>
      <w:r w:rsidR="00AA368B">
        <w:t>fenti kérdésből indultam ki és mindenki által hozzáférhető, hiteles és visszakereshető adatsorokat, adatbázisokat kerestem.  A vizsgálat alapját képező GDP adatokat és a mutatók nagy részét a KSH honlapjáról töltöttem le (</w:t>
      </w:r>
      <w:hyperlink r:id="rId9" w:history="1">
        <w:r w:rsidR="00AA368B" w:rsidRPr="0062220E">
          <w:rPr>
            <w:rStyle w:val="Hiperhivatkozs"/>
          </w:rPr>
          <w:t>http://www.ksh.hu/docs/hun/xstadat/xstadat_eves/i_int024b.html</w:t>
        </w:r>
      </w:hyperlink>
      <w:r w:rsidR="00AA368B">
        <w:t xml:space="preserve">), illetve kisebb részben az EUROSTAT </w:t>
      </w:r>
      <w:r w:rsidR="00C962C6">
        <w:t xml:space="preserve">adatbázisát használtam fel. </w:t>
      </w:r>
    </w:p>
    <w:p w:rsidR="00656ED1" w:rsidRDefault="00C962C6" w:rsidP="009A29D3">
      <w:pPr>
        <w:pStyle w:val="Stlus4"/>
      </w:pPr>
      <w:r>
        <w:t xml:space="preserve">Igyekeztem minél szélesebb spektrumú </w:t>
      </w:r>
      <w:r w:rsidR="00656ED1">
        <w:t xml:space="preserve">válogatásból, a társadalom és gazdaság más-más szegmensét jellemző </w:t>
      </w:r>
      <w:r>
        <w:t>mutatószámokat felvonultatni az EU 27 vonatkozásában</w:t>
      </w:r>
      <w:r w:rsidR="009D5358">
        <w:t>,</w:t>
      </w:r>
      <w:r>
        <w:t xml:space="preserve"> 2005 és 2010 közötti adatok felhasználásával. </w:t>
      </w:r>
      <w:r w:rsidR="00BA6B7D">
        <w:t>Olyan, szinte már közhelyként kezelt mutatókat válogattam, melyek gyakran szerepelnek különféle nyilatkozatokban</w:t>
      </w:r>
      <w:r w:rsidR="0046046D">
        <w:t>, elemzésekben</w:t>
      </w:r>
      <w:r w:rsidR="00B8107E">
        <w:t xml:space="preserve"> </w:t>
      </w:r>
      <w:r w:rsidR="00F139B8">
        <w:t>(</w:t>
      </w:r>
      <w:hyperlink r:id="rId10" w:history="1">
        <w:r w:rsidR="00F139B8" w:rsidRPr="00F6543A">
          <w:rPr>
            <w:rStyle w:val="Hiperhivatkozs"/>
          </w:rPr>
          <w:t>http://www.erstebank.hu/hu/sajto/2010-ii-felev/2010-augusztus-13</w:t>
        </w:r>
      </w:hyperlink>
      <w:r w:rsidR="00F139B8">
        <w:t>)</w:t>
      </w:r>
      <w:r w:rsidR="0046046D">
        <w:t xml:space="preserve">, </w:t>
      </w:r>
      <w:r w:rsidR="00BA6B7D">
        <w:t>illetve a közbeszédben is</w:t>
      </w:r>
      <w:r w:rsidR="009D5358">
        <w:t xml:space="preserve">. </w:t>
      </w:r>
      <w:r w:rsidR="00D31812">
        <w:t xml:space="preserve">Nagyon jó példa erre az előbbiekben hivatkozott, 2010. évre vonatkozó Erste Banktól származó elemzés, melyben valamennyi általam vizsgált tulajdonság GDP-vel való kapcsolata taglalásra került. </w:t>
      </w:r>
      <w:r w:rsidR="009D5358">
        <w:t>E</w:t>
      </w:r>
      <w:r w:rsidR="00BA6B7D">
        <w:t xml:space="preserve">videnciaként kezeljük őket, mint a gazdaságra és így a GDP-re ható tényezőket. De vajon helyes-e a vélekedés? </w:t>
      </w:r>
      <w:r w:rsidR="00656ED1">
        <w:t>Az egy főre jutó GDP (</w:t>
      </w:r>
      <w:r w:rsidR="00656ED1" w:rsidRPr="00656ED1">
        <w:t>vásárlóerő-paritás alapján</w:t>
      </w:r>
      <w:r w:rsidR="00BA6B7D">
        <w:t>)</w:t>
      </w:r>
      <w:r w:rsidR="00656ED1">
        <w:t xml:space="preserve"> mellet így került az adatbázisomba, a</w:t>
      </w:r>
      <w:r w:rsidR="00656ED1" w:rsidRPr="00656ED1">
        <w:t xml:space="preserve"> háztartások végső fogyasztási kiadásainak volumenváltozásai</w:t>
      </w:r>
      <w:r w:rsidR="00656ED1">
        <w:t>, a h</w:t>
      </w:r>
      <w:r w:rsidR="00656ED1" w:rsidRPr="00656ED1">
        <w:t>osszú távú kamatszint</w:t>
      </w:r>
      <w:r w:rsidR="00656ED1">
        <w:t xml:space="preserve"> alakulása, a k</w:t>
      </w:r>
      <w:r w:rsidR="00656ED1" w:rsidRPr="00656ED1">
        <w:t xml:space="preserve">ivitel </w:t>
      </w:r>
      <w:r w:rsidR="00656ED1">
        <w:t>a</w:t>
      </w:r>
      <w:r w:rsidR="00656ED1" w:rsidRPr="00656ED1">
        <w:t xml:space="preserve"> behozatal százalékában</w:t>
      </w:r>
      <w:r w:rsidR="00656ED1">
        <w:t>, az e</w:t>
      </w:r>
      <w:r w:rsidR="00656ED1" w:rsidRPr="00656ED1">
        <w:t xml:space="preserve">gy főre jutó közvetlen külföldi </w:t>
      </w:r>
      <w:proofErr w:type="spellStart"/>
      <w:r w:rsidR="00656ED1" w:rsidRPr="00656ED1">
        <w:t>működőtőke-befektetések</w:t>
      </w:r>
      <w:proofErr w:type="spellEnd"/>
      <w:r w:rsidR="00656ED1" w:rsidRPr="00656ED1">
        <w:t xml:space="preserve"> állománya</w:t>
      </w:r>
      <w:r w:rsidR="00656ED1">
        <w:t xml:space="preserve"> és a m</w:t>
      </w:r>
      <w:r w:rsidR="00656ED1" w:rsidRPr="00656ED1">
        <w:t xml:space="preserve">unkanélküliségi ráta </w:t>
      </w:r>
      <w:r w:rsidR="00656ED1">
        <w:t xml:space="preserve">a </w:t>
      </w:r>
      <w:r w:rsidR="00656ED1" w:rsidRPr="00656ED1">
        <w:t xml:space="preserve">15–64 </w:t>
      </w:r>
      <w:r w:rsidR="00656ED1">
        <w:t>közötti korosztályokban.</w:t>
      </w:r>
    </w:p>
    <w:p w:rsidR="00C962C6" w:rsidRDefault="00C962C6" w:rsidP="009A29D3">
      <w:pPr>
        <w:pStyle w:val="Stlus4"/>
      </w:pPr>
      <w:r>
        <w:t xml:space="preserve">Bár az EU csak 2007-től 27 tagú, de meglátásom szerit Románia és Bulgária adatai nem torzítják az elemzést. Annál is inkább, mivel a </w:t>
      </w:r>
      <w:proofErr w:type="spellStart"/>
      <w:r>
        <w:t>hosszútávú</w:t>
      </w:r>
      <w:proofErr w:type="spellEnd"/>
      <w:r>
        <w:t xml:space="preserve"> kamatszint adatsoraiban – mint utóbb rájöttem - </w:t>
      </w:r>
      <w:r w:rsidRPr="00C962C6">
        <w:t xml:space="preserve">az észt kamatszint nem nulla, csak ilyen jellegű </w:t>
      </w:r>
      <w:r>
        <w:t>adat nincs az észt gazdaságban. A</w:t>
      </w:r>
      <w:r w:rsidRPr="00C962C6">
        <w:t>z európai központi bank is e</w:t>
      </w:r>
      <w:r>
        <w:t>gy számított értékkel dolgozott.</w:t>
      </w:r>
      <w:r w:rsidRPr="00C962C6">
        <w:t xml:space="preserve"> "Mivel Észtországban nincs harmonizált hosszú lejáratú kamatláb, a rá vonatkozó értéket úgy számítottuk ki, hogy az árstabilitási kritérium referenciaértékének kiszámításába bevont két másik EU-tagállam (Belgium és Portugália) hosszú lejáratú kamatlábának (3,8%, illetve </w:t>
      </w:r>
      <w:r w:rsidRPr="00C962C6">
        <w:lastRenderedPageBreak/>
        <w:t>4,2%) súlyozatlan számtani közepéhez 2 százalékp</w:t>
      </w:r>
      <w:r w:rsidR="00BA6B7D">
        <w:t>ontot hozzáadtunk.</w:t>
      </w:r>
      <w:r w:rsidRPr="00C962C6">
        <w:t>"</w:t>
      </w:r>
      <w:r>
        <w:rPr>
          <w:rStyle w:val="Lbjegyzet-hivatkozs"/>
        </w:rPr>
        <w:footnoteReference w:id="1"/>
      </w:r>
      <w:r w:rsidR="00656ED1">
        <w:t xml:space="preserve"> </w:t>
      </w:r>
      <w:r w:rsidRPr="00C962C6">
        <w:t xml:space="preserve">Mivel ez a nulla érték jelentős torzítási lehetőséget hordoz magában (minél kisebb annál jobb elv), az elemzésnél ki </w:t>
      </w:r>
      <w:r w:rsidR="00656ED1">
        <w:t>kellett hagynom</w:t>
      </w:r>
      <w:r w:rsidRPr="00C962C6">
        <w:t xml:space="preserve"> Észtországot. Romániánál sem szerepelt kamatérték </w:t>
      </w:r>
      <w:r w:rsidR="00656ED1">
        <w:t xml:space="preserve">a </w:t>
      </w:r>
      <w:r w:rsidRPr="00C962C6">
        <w:t>2005</w:t>
      </w:r>
      <w:r w:rsidR="00656ED1">
        <w:t>. év</w:t>
      </w:r>
      <w:r w:rsidRPr="00C962C6">
        <w:t xml:space="preserve">ben, ide az </w:t>
      </w:r>
      <w:proofErr w:type="spellStart"/>
      <w:r w:rsidR="00656ED1">
        <w:t>EUROSTAT-</w:t>
      </w:r>
      <w:r w:rsidRPr="00C962C6">
        <w:t>nál</w:t>
      </w:r>
      <w:proofErr w:type="spellEnd"/>
      <w:r w:rsidRPr="00C962C6">
        <w:t xml:space="preserve"> talált jegybanki alapkamatot írtam be.</w:t>
      </w:r>
      <w:r>
        <w:t xml:space="preserve"> </w:t>
      </w:r>
      <w:r w:rsidR="0087256A">
        <w:t>(</w:t>
      </w:r>
      <w:hyperlink r:id="rId11" w:history="1">
        <w:r w:rsidR="00457045" w:rsidRPr="00F6543A">
          <w:rPr>
            <w:rStyle w:val="Hiperhivatkozs"/>
          </w:rPr>
          <w:t>http://epp.eurostat.ec.europa.eu/tgm/table.do?tab=table&amp;init=1&amp;plugin=1&amp;language=en&amp;pcode=tec00096</w:t>
        </w:r>
        <w:r w:rsidR="00457045" w:rsidRPr="00457045">
          <w:rPr>
            <w:rStyle w:val="Hiperhivatkozs"/>
            <w:u w:val="none"/>
          </w:rPr>
          <w:t xml:space="preserve">) </w:t>
        </w:r>
        <w:r w:rsidR="00457045" w:rsidRPr="00457045">
          <w:rPr>
            <w:rStyle w:val="Hiperhivatkozs"/>
            <w:color w:val="auto"/>
            <w:u w:val="none"/>
          </w:rPr>
          <w:t xml:space="preserve">A két adatsor eredményeinek összevetésére - az azonosság feltárása érdekében - nem volt szükség, mert </w:t>
        </w:r>
      </w:hyperlink>
      <w:r w:rsidR="00457045">
        <w:t>a</w:t>
      </w:r>
      <w:r w:rsidR="008E6C13">
        <w:t xml:space="preserve"> hiányzó adaton túl</w:t>
      </w:r>
      <w:r w:rsidR="00457045">
        <w:t xml:space="preserve"> (melyet csak az EUROSTAT honlapján találtam meg), jelen vizsgálatban</w:t>
      </w:r>
      <w:r w:rsidR="008E6C13">
        <w:t xml:space="preserve"> </w:t>
      </w:r>
      <w:r w:rsidR="00457045">
        <w:t>csak a KSH adatai kerültek feldolgozásra.</w:t>
      </w:r>
    </w:p>
    <w:p w:rsidR="0087256A" w:rsidRDefault="0087256A" w:rsidP="009A29D3">
      <w:pPr>
        <w:pStyle w:val="Stlus4"/>
      </w:pPr>
      <w:r>
        <w:t>Az így kialakult 26 országot felölelő, 6 évet magában foglaló és 6 különböző tulajdonságot tartalmazó adatbázis további csiszolást igényelt. Annak érdekében, hogy a méretfüggőséget (és így az elemzés eredményének torzulását) elkerüljem, a k</w:t>
      </w:r>
      <w:r w:rsidRPr="0087256A">
        <w:t xml:space="preserve">özvetlen külföldi </w:t>
      </w:r>
      <w:proofErr w:type="spellStart"/>
      <w:r w:rsidRPr="0087256A">
        <w:t>m</w:t>
      </w:r>
      <w:r>
        <w:t>űködőtőke-befektetések</w:t>
      </w:r>
      <w:proofErr w:type="spellEnd"/>
      <w:r>
        <w:t xml:space="preserve"> állománya esetén az adott értéket el kellett osztanom a népesség számával, hogy egy méret független </w:t>
      </w:r>
      <w:r w:rsidR="00EA6916">
        <w:t>USD</w:t>
      </w:r>
      <w:r>
        <w:t xml:space="preserve">/fő </w:t>
      </w:r>
      <w:r w:rsidR="0029185A">
        <w:t>dimenziójú</w:t>
      </w:r>
      <w:r>
        <w:t xml:space="preserve"> mutatót kaphassak.</w:t>
      </w:r>
      <w:r w:rsidR="00EA6916">
        <w:t xml:space="preserve"> A többi adatom már valamilyen százalékos érték volt, ezért ezek változatlan formában kerültek át a kimutatásba, majd onnét az elemzést tartalmazó alapadat táblába, ahol elsődlegesen már országok és évek szerint kerültek rendezésre.</w:t>
      </w:r>
    </w:p>
    <w:p w:rsidR="00EA6916" w:rsidRDefault="00340F98" w:rsidP="009A29D3">
      <w:pPr>
        <w:pStyle w:val="Stlus4"/>
      </w:pPr>
      <w:r>
        <w:t>A fentiekben felvetett hipotézisem tehát</w:t>
      </w:r>
      <w:r w:rsidR="0029185A">
        <w:t xml:space="preserve"> közvetve, bővebben</w:t>
      </w:r>
      <w:r>
        <w:t xml:space="preserve"> a következő, szerintem mindenki által ismert közkeletű frázisok</w:t>
      </w:r>
      <w:r w:rsidR="0046046D">
        <w:t xml:space="preserve"> (</w:t>
      </w:r>
      <w:hyperlink r:id="rId12" w:history="1">
        <w:r w:rsidR="0046046D" w:rsidRPr="00F6543A">
          <w:rPr>
            <w:rStyle w:val="Hiperhivatkozs"/>
          </w:rPr>
          <w:t>http://www.erstebank.hu/hu/sajto/2010-ii-felev/2010-augusztus-13</w:t>
        </w:r>
      </w:hyperlink>
      <w:r w:rsidR="0046046D">
        <w:t xml:space="preserve">) </w:t>
      </w:r>
      <w:r>
        <w:t>valóságtartalmának igazolására vonatkozik.</w:t>
      </w:r>
      <w:r w:rsidR="0046046D">
        <w:t xml:space="preserve"> A lentiekben igyekeztem a hivatkozott cikk vizsgálatomra vonatkozó megállapításait egyszerűen és tömören megfogalmazva pontokba szedni.</w:t>
      </w:r>
    </w:p>
    <w:p w:rsidR="00340F98" w:rsidRDefault="00340F98" w:rsidP="00340F98">
      <w:pPr>
        <w:pStyle w:val="Stlus4"/>
        <w:numPr>
          <w:ilvl w:val="0"/>
          <w:numId w:val="21"/>
        </w:numPr>
      </w:pPr>
      <w:r>
        <w:t>A társadalmi-gazdasági folyamatok változásai eltérő módon és formában, de hatnak a gazdaság egészére és így a GDP alakulására is.</w:t>
      </w:r>
    </w:p>
    <w:p w:rsidR="00340F98" w:rsidRDefault="00340F98" w:rsidP="00340F98">
      <w:pPr>
        <w:pStyle w:val="Stlus4"/>
        <w:numPr>
          <w:ilvl w:val="0"/>
          <w:numId w:val="21"/>
        </w:numPr>
      </w:pPr>
      <w:r>
        <w:t xml:space="preserve">A </w:t>
      </w:r>
      <w:r w:rsidRPr="00656ED1">
        <w:t xml:space="preserve">háztartások </w:t>
      </w:r>
      <w:r>
        <w:t>fogyasztási kiadásainak növekedése együtt jár a GDP növekedésével, hiszen minél jobban élünk, annál többet költünk.</w:t>
      </w:r>
    </w:p>
    <w:p w:rsidR="00340F98" w:rsidRDefault="00770A70" w:rsidP="00340F98">
      <w:pPr>
        <w:pStyle w:val="Stlus4"/>
        <w:numPr>
          <w:ilvl w:val="0"/>
          <w:numId w:val="21"/>
        </w:numPr>
      </w:pPr>
      <w:r>
        <w:t xml:space="preserve">A </w:t>
      </w:r>
      <w:proofErr w:type="spellStart"/>
      <w:r>
        <w:t>hosszútávú</w:t>
      </w:r>
      <w:proofErr w:type="spellEnd"/>
      <w:r>
        <w:t xml:space="preserve"> kamatszint minél alacsonyabb, annál kedvezőbb feltételeket teremt a gazdaság szereplőinek, például a hitelterhek mérsékelt volta miatt, tehát </w:t>
      </w:r>
      <w:r w:rsidR="000C3D20">
        <w:t>csökkenése, vagy tartósan alacsony szinten tartása</w:t>
      </w:r>
      <w:r>
        <w:t xml:space="preserve"> a GDP növekedésére hat.</w:t>
      </w:r>
    </w:p>
    <w:p w:rsidR="00770A70" w:rsidRDefault="00770A70" w:rsidP="00340F98">
      <w:pPr>
        <w:pStyle w:val="Stlus4"/>
        <w:numPr>
          <w:ilvl w:val="0"/>
          <w:numId w:val="21"/>
        </w:numPr>
      </w:pPr>
      <w:r>
        <w:t>A minél nyitottabb egy ország gazdasága, minél többet exp</w:t>
      </w:r>
      <w:r w:rsidR="000C3D20">
        <w:t>ortál, annál erősebb a gazdaság</w:t>
      </w:r>
      <w:r>
        <w:t xml:space="preserve">, és </w:t>
      </w:r>
      <w:r w:rsidR="000C3D20">
        <w:t>magasabb az egy főre jutó GDP</w:t>
      </w:r>
      <w:r>
        <w:t xml:space="preserve">. Az export </w:t>
      </w:r>
      <w:r w:rsidR="00690371">
        <w:t xml:space="preserve">arányának </w:t>
      </w:r>
      <w:r>
        <w:t xml:space="preserve">növekedése a GDP növekedését, míg az import </w:t>
      </w:r>
      <w:r w:rsidR="00690371">
        <w:t xml:space="preserve">arányának </w:t>
      </w:r>
      <w:r>
        <w:t>növekedése a GDP csökkenését eredményezi.</w:t>
      </w:r>
    </w:p>
    <w:p w:rsidR="00770A70" w:rsidRDefault="00770A70" w:rsidP="00340F98">
      <w:pPr>
        <w:pStyle w:val="Stlus4"/>
        <w:numPr>
          <w:ilvl w:val="0"/>
          <w:numId w:val="21"/>
        </w:numPr>
      </w:pPr>
      <w:r>
        <w:t xml:space="preserve"> Az egyetlen számított értékem, az e</w:t>
      </w:r>
      <w:r w:rsidRPr="00656ED1">
        <w:t xml:space="preserve">gy főre jutó közvetlen külföldi </w:t>
      </w:r>
      <w:proofErr w:type="spellStart"/>
      <w:r w:rsidRPr="00656ED1">
        <w:t>működőtőke-befektetések</w:t>
      </w:r>
      <w:proofErr w:type="spellEnd"/>
      <w:r w:rsidRPr="00656ED1">
        <w:t xml:space="preserve"> állománya</w:t>
      </w:r>
      <w:r w:rsidR="00690371">
        <w:t xml:space="preserve"> is szinte közhely</w:t>
      </w:r>
      <w:r>
        <w:t xml:space="preserve">számba megy, </w:t>
      </w:r>
      <w:r w:rsidR="00E35802">
        <w:t xml:space="preserve">hiszen </w:t>
      </w:r>
      <w:r>
        <w:t xml:space="preserve">a külföldi </w:t>
      </w:r>
      <w:proofErr w:type="spellStart"/>
      <w:r>
        <w:t>működőtőke</w:t>
      </w:r>
      <w:proofErr w:type="spellEnd"/>
      <w:r>
        <w:t xml:space="preserve"> beáramlás egyértelműen pozitívan hat az ország gazdaságára és a GDP növekedésére.</w:t>
      </w:r>
    </w:p>
    <w:p w:rsidR="00544EAC" w:rsidRDefault="00770A70" w:rsidP="009A29D3">
      <w:pPr>
        <w:pStyle w:val="Stlus4"/>
        <w:numPr>
          <w:ilvl w:val="0"/>
          <w:numId w:val="21"/>
        </w:numPr>
      </w:pPr>
      <w:r>
        <w:t>Hasonló a helyzet, csak fordított arányosságban</w:t>
      </w:r>
      <w:r w:rsidR="000C3D20">
        <w:t xml:space="preserve"> a munkanélküliségi ráta vonatkozásában. M</w:t>
      </w:r>
      <w:r>
        <w:t>inél kisebb az adott ország munkanélküliségi mutatója, annál többen dolgoznak és annál több az egy főre jutó GDP.</w:t>
      </w:r>
    </w:p>
    <w:p w:rsidR="006C32A9" w:rsidRPr="00684784" w:rsidRDefault="00684784" w:rsidP="00023394">
      <w:pPr>
        <w:pStyle w:val="Stlus2"/>
        <w:spacing w:before="240"/>
        <w:ind w:left="62"/>
        <w:jc w:val="center"/>
        <w:rPr>
          <w:b/>
          <w:i w:val="0"/>
          <w:u w:val="none"/>
        </w:rPr>
      </w:pPr>
      <w:r>
        <w:rPr>
          <w:b/>
          <w:i w:val="0"/>
          <w:u w:val="none"/>
        </w:rPr>
        <w:t>Hibák és eredmények, a vizsgálat (</w:t>
      </w:r>
      <w:proofErr w:type="spellStart"/>
      <w:r w:rsidR="000C4CD2" w:rsidRPr="00684784">
        <w:rPr>
          <w:b/>
          <w:i w:val="0"/>
          <w:u w:val="none"/>
        </w:rPr>
        <w:t>kvartilis</w:t>
      </w:r>
      <w:proofErr w:type="spellEnd"/>
      <w:r w:rsidR="000C4CD2" w:rsidRPr="00684784">
        <w:rPr>
          <w:b/>
          <w:i w:val="0"/>
          <w:u w:val="none"/>
        </w:rPr>
        <w:t xml:space="preserve">, </w:t>
      </w:r>
      <w:proofErr w:type="spellStart"/>
      <w:r w:rsidR="000C4CD2" w:rsidRPr="00684784">
        <w:rPr>
          <w:b/>
          <w:i w:val="0"/>
          <w:u w:val="none"/>
        </w:rPr>
        <w:t>kvint</w:t>
      </w:r>
      <w:r w:rsidR="007372B7" w:rsidRPr="00684784">
        <w:rPr>
          <w:b/>
          <w:i w:val="0"/>
          <w:u w:val="none"/>
        </w:rPr>
        <w:t>i</w:t>
      </w:r>
      <w:r w:rsidR="000C4CD2" w:rsidRPr="00684784">
        <w:rPr>
          <w:b/>
          <w:i w:val="0"/>
          <w:u w:val="none"/>
        </w:rPr>
        <w:t>lis</w:t>
      </w:r>
      <w:proofErr w:type="spellEnd"/>
      <w:r w:rsidR="000C4CD2" w:rsidRPr="00684784">
        <w:rPr>
          <w:b/>
          <w:i w:val="0"/>
          <w:u w:val="none"/>
        </w:rPr>
        <w:t xml:space="preserve">, </w:t>
      </w:r>
      <w:proofErr w:type="spellStart"/>
      <w:r w:rsidR="000C4CD2" w:rsidRPr="00684784">
        <w:rPr>
          <w:b/>
          <w:i w:val="0"/>
          <w:u w:val="none"/>
        </w:rPr>
        <w:t>sextile</w:t>
      </w:r>
      <w:proofErr w:type="spellEnd"/>
      <w:r w:rsidR="000C4CD2" w:rsidRPr="00684784">
        <w:rPr>
          <w:b/>
          <w:i w:val="0"/>
          <w:u w:val="none"/>
        </w:rPr>
        <w:t xml:space="preserve">, </w:t>
      </w:r>
      <w:r>
        <w:rPr>
          <w:b/>
          <w:i w:val="0"/>
          <w:u w:val="none"/>
        </w:rPr>
        <w:t>d</w:t>
      </w:r>
      <w:r w:rsidR="00BE0530" w:rsidRPr="00684784">
        <w:rPr>
          <w:b/>
          <w:i w:val="0"/>
          <w:u w:val="none"/>
        </w:rPr>
        <w:t xml:space="preserve">ekád, </w:t>
      </w:r>
      <w:r>
        <w:rPr>
          <w:b/>
          <w:i w:val="0"/>
          <w:u w:val="none"/>
        </w:rPr>
        <w:t>ö</w:t>
      </w:r>
      <w:r w:rsidR="000C4CD2" w:rsidRPr="00684784">
        <w:rPr>
          <w:b/>
          <w:i w:val="0"/>
          <w:u w:val="none"/>
        </w:rPr>
        <w:t>sszevonás)</w:t>
      </w:r>
    </w:p>
    <w:p w:rsidR="0087256A" w:rsidRDefault="0087256A" w:rsidP="00E07867">
      <w:pPr>
        <w:pStyle w:val="Stlus4"/>
      </w:pPr>
      <w:r>
        <w:t>Mivel segédletet ígértem a bevezetőben, ezért had ejtsek néhány szót a kezdeti hibáimról, hogy másoknak valóban utat mutathassak.</w:t>
      </w:r>
      <w:r w:rsidR="00E35802">
        <w:t xml:space="preserve"> Aki figyelmesen nézi végig az Adatbázis táblát</w:t>
      </w:r>
      <w:r w:rsidR="00DB1BA4">
        <w:t xml:space="preserve"> (ht</w:t>
      </w:r>
      <w:r w:rsidR="00DB1BA4" w:rsidRPr="00DB1BA4">
        <w:t>tp://</w:t>
      </w:r>
      <w:r w:rsidR="00DB1BA4">
        <w:t>miau.gau.hu</w:t>
      </w:r>
      <w:r w:rsidR="00DB1BA4" w:rsidRPr="00DB1BA4">
        <w:t>/oktatas/2012tavasz/gdp_mcm.xlsx</w:t>
      </w:r>
      <w:r w:rsidR="00DB1BA4">
        <w:t>)</w:t>
      </w:r>
      <w:r w:rsidR="00E35802">
        <w:t xml:space="preserve">, láthatja, hogy nem csak a fenti 6 </w:t>
      </w:r>
      <w:r w:rsidR="00BE0530">
        <w:t>attribútum</w:t>
      </w:r>
      <w:r w:rsidR="00E35802">
        <w:t xml:space="preserve"> adatait tartalmazza. Ennek oka, hogy elsőként klasszikus hasonlóságelemzési</w:t>
      </w:r>
      <w:r w:rsidR="00777F8C">
        <w:t xml:space="preserve"> (COCO)</w:t>
      </w:r>
      <w:r w:rsidR="00E35802">
        <w:t xml:space="preserve"> feldolgozási metódust követtem.</w:t>
      </w:r>
    </w:p>
    <w:p w:rsidR="00BE0530" w:rsidRDefault="00E35802" w:rsidP="00E07867">
      <w:pPr>
        <w:pStyle w:val="Stlus4"/>
      </w:pPr>
      <w:r>
        <w:lastRenderedPageBreak/>
        <w:t>Az adatbázisból kimutatást készítet</w:t>
      </w:r>
      <w:r w:rsidR="00C97D34">
        <w:t xml:space="preserve">tem, és ezzel mintegy leszűrtem </w:t>
      </w:r>
      <w:r>
        <w:t>a számomra fontos adatokat. Ezeket az adatokat másoltam egy Alapadatok táblába és elkészítettem a tulajdonság</w:t>
      </w:r>
      <w:r w:rsidR="0096315B">
        <w:t>-</w:t>
      </w:r>
      <w:r>
        <w:t xml:space="preserve"> oszlopok szerinti rangsormátrixot</w:t>
      </w:r>
      <w:r w:rsidR="0096315B">
        <w:t>,</w:t>
      </w:r>
      <w:r>
        <w:t xml:space="preserve"> sorszám függvény segítségével, figyelembe véve az rangsor irányultságát</w:t>
      </w:r>
      <w:r w:rsidR="00BE0530">
        <w:t xml:space="preserve"> (minél nagyobb annál jobb vagy minél kisebb annál jobb). Az így előállt rangsormátrixot az Y komponens adataival kiegészítve, a COCO online additív standard verzió alkalmazásával igyekeztem elemezni. Sajnos az inverzióval történő hitelesség ellenőrzés</w:t>
      </w:r>
      <w:r w:rsidR="00777F8C">
        <w:t>en</w:t>
      </w:r>
      <w:r w:rsidR="00BE0530">
        <w:t xml:space="preserve"> rendre megbuktak a próbálkozásaim annak ellenére, hogy újabb és újabb attribútumokat vontam be az elemzésbe, bővítve az adatsort.</w:t>
      </w:r>
    </w:p>
    <w:p w:rsidR="00BE0530" w:rsidRDefault="00BE0530" w:rsidP="00E07867">
      <w:pPr>
        <w:pStyle w:val="Stlus4"/>
      </w:pPr>
      <w:r>
        <w:t>Az így tapasztalt sikertelenség után tértem át a Monte Carlo módszer használatára, mely nagyobb szabadságot engedett. Ugyan itt is el kellett kés</w:t>
      </w:r>
      <w:r w:rsidR="0090623E">
        <w:t>zíteni az Alapadatok táblát, és a rangsor mátrixokat, de az irányultságot nem kellett megadni, ami már egy szubjektivitási hibalehetőséget kiküszöbölt.</w:t>
      </w:r>
      <w:r w:rsidR="003A078E">
        <w:t xml:space="preserve"> A </w:t>
      </w:r>
      <w:proofErr w:type="gramStart"/>
      <w:r w:rsidR="003A078E">
        <w:t>rangsormátrix</w:t>
      </w:r>
      <w:r w:rsidR="00777F8C">
        <w:t>(</w:t>
      </w:r>
      <w:proofErr w:type="gramEnd"/>
      <w:r w:rsidR="00777F8C">
        <w:t>ok)</w:t>
      </w:r>
      <w:r w:rsidR="003A078E">
        <w:t xml:space="preserve"> elkészítése viszont eltérő módon történt, mégpe</w:t>
      </w:r>
      <w:r w:rsidR="00777F8C">
        <w:t>dig a lépcsők számától függő mennyiségben. Ezeket</w:t>
      </w:r>
      <w:r w:rsidR="003A078E">
        <w:t xml:space="preserve"> külön-külön futtat</w:t>
      </w:r>
      <w:r w:rsidR="00777F8C">
        <w:t>tam, me</w:t>
      </w:r>
      <w:r w:rsidR="003A078E">
        <w:t>l</w:t>
      </w:r>
      <w:r w:rsidR="00777F8C">
        <w:t>yek későbbi összevonásával</w:t>
      </w:r>
      <w:r w:rsidR="003A078E">
        <w:t xml:space="preserve"> finomítani lehet</w:t>
      </w:r>
      <w:r w:rsidR="00C97D34">
        <w:t>ett</w:t>
      </w:r>
      <w:r w:rsidR="003A078E">
        <w:t xml:space="preserve"> a kapott végeredményt.</w:t>
      </w:r>
    </w:p>
    <w:p w:rsidR="00364C3F" w:rsidRDefault="0096315B" w:rsidP="00E07867">
      <w:pPr>
        <w:pStyle w:val="Stlus4"/>
      </w:pPr>
      <w:r>
        <w:t>Először meghatároztam a lépcsők számát, ami azt jelenti, hogy az adatokat (attribútumonként 156 db</w:t>
      </w:r>
      <w:r w:rsidR="00364C3F">
        <w:t>, ami 26 ország 6-6 évenkénti adata</w:t>
      </w:r>
      <w:r>
        <w:t>) méretük alapján ilyen kevés csoportba (4-5-6-10) kell</w:t>
      </w:r>
      <w:r w:rsidR="00777F8C">
        <w:t>ett</w:t>
      </w:r>
      <w:r w:rsidR="009333F2">
        <w:t>/érdemes</w:t>
      </w:r>
      <w:r>
        <w:t xml:space="preserve"> besorolni</w:t>
      </w:r>
      <w:r w:rsidR="00364C3F">
        <w:t>. A legegyszerűbb a 3 lépcsős model</w:t>
      </w:r>
      <w:r w:rsidR="00F5619C">
        <w:t>l.</w:t>
      </w:r>
      <w:r w:rsidR="00364C3F">
        <w:t xml:space="preserve"> </w:t>
      </w:r>
      <w:r w:rsidR="00F5619C">
        <w:t xml:space="preserve">A három lépcső adata grafikusan elképzelve vagy egy egyenesbe rendeződik, vagy valamilyen egyszerű görbét ír le. Az egyenes vagy nő, vagy csökken, vagy stagnál, a görbe pedig vagy minimummal, vagy maximummal rendelkezik, tehát </w:t>
      </w:r>
      <w:r w:rsidR="0014616F">
        <w:t xml:space="preserve">mindegyik </w:t>
      </w:r>
      <w:r w:rsidR="00F5619C">
        <w:t>egyszerűen értelmezhető. A</w:t>
      </w:r>
      <w:r w:rsidR="00364C3F">
        <w:t xml:space="preserve">z első lépcső a kicsi, a második lépcső a közepes és a harmadik lépcső a magas hatótényezővel bíró adatokat tartalmazza. </w:t>
      </w:r>
      <w:r w:rsidR="00F5619C">
        <w:t xml:space="preserve">Olyan, mint egy háromlábú szék, biztos és stabil, de nem ad kellő betekintést az adatokba. </w:t>
      </w:r>
      <w:r w:rsidR="00364C3F">
        <w:t>Ettől felfelé haladva a lépcsők hullámzani kezdenek, fellép a polinom hatás és nő a bizonytalanság a következtetése</w:t>
      </w:r>
      <w:r w:rsidR="00F5619C">
        <w:t>k levonása kapcsán. Annak érdekében, hogy kellően részletes képet kapjunk az elemzés során nem elegendő (sőt nem is túl izgalmas) a 3 lépcsős modell elkészítése. A lépcsők kialakítását és a modellek elkészítését addig érdemes folytatni, amíg új eredményeket kapunk, illetve valamennyi tulajdonság esetén fel nem lép a polinom hatás.</w:t>
      </w:r>
      <w:r w:rsidR="0014616F">
        <w:t xml:space="preserve"> Mindezeken túl a polinomok értelmezése sem bonyolult, hiszen a hullámok szélsőértékei is tartanak valahová, trendfüggvénnyel leírható az irányultságuk, mint azt a későbbiekben láthatjuk is.</w:t>
      </w:r>
    </w:p>
    <w:p w:rsidR="00BE0530" w:rsidRDefault="00695759" w:rsidP="00E07867">
      <w:pPr>
        <w:pStyle w:val="Stlus4"/>
      </w:pPr>
      <w:r>
        <w:t xml:space="preserve">A besorolás és a rangsormátrix elkészítése úgy történt, hogy az adott attribútum minimum és maximum értéke által leírt szakaszt a lépcsők számának megfelelően egyenlő részekre osztva, az adott szakaszba tartozó értékek (a szakaszhatárokhoz kapcsolt „HA” függvények segítségével) kaptak azonos </w:t>
      </w:r>
      <w:r w:rsidR="00C97D34">
        <w:t>rang</w:t>
      </w:r>
      <w:r>
        <w:t>sorszámot. Ezt követően történhetett meg a rangsormátrix feltöltése és a futtatás.</w:t>
      </w:r>
    </w:p>
    <w:p w:rsidR="00695759" w:rsidRDefault="00353A45" w:rsidP="00E07867">
      <w:pPr>
        <w:pStyle w:val="Stlus4"/>
      </w:pPr>
      <w:r>
        <w:t>A vizsgálatban először négy lépcsőben, más</w:t>
      </w:r>
      <w:r w:rsidR="00695759">
        <w:t xml:space="preserve">odszor öt lépcsőben, harmadszor hat lépcsőben, végül </w:t>
      </w:r>
      <w:r w:rsidR="00404675">
        <w:t>tíz</w:t>
      </w:r>
      <w:r w:rsidR="00695759">
        <w:t xml:space="preserve"> lépcsőbe tagozva </w:t>
      </w:r>
      <w:r>
        <w:t>viz</w:t>
      </w:r>
      <w:r w:rsidR="00797E78">
        <w:t xml:space="preserve">sgáltam </w:t>
      </w:r>
      <w:r w:rsidR="00695759">
        <w:t>az</w:t>
      </w:r>
      <w:r w:rsidR="00797E78">
        <w:t xml:space="preserve"> adatokat a </w:t>
      </w:r>
      <w:r w:rsidR="005801A8">
        <w:t>COCO-</w:t>
      </w:r>
      <w:r w:rsidR="00C60D6D">
        <w:t>MCM</w:t>
      </w:r>
      <w:r w:rsidR="00797E78">
        <w:t xml:space="preserve"> </w:t>
      </w:r>
      <w:r>
        <w:t>modellben.</w:t>
      </w:r>
      <w:r w:rsidR="008375B8">
        <w:t xml:space="preserve"> Végül a</w:t>
      </w:r>
      <w:r w:rsidR="005801A8">
        <w:t>z exploratív</w:t>
      </w:r>
      <w:r w:rsidR="00797E78">
        <w:t xml:space="preserve"> </w:t>
      </w:r>
      <w:r w:rsidR="005801A8">
        <w:t xml:space="preserve">modellek által kiszámított </w:t>
      </w:r>
      <w:r w:rsidR="00797E78">
        <w:t xml:space="preserve">lépcsőket összevontam, és az egyes táblázatok és az aggregált lépcsők táblázata alapján próbáltam következtetéseket levonni a modellből. </w:t>
      </w:r>
    </w:p>
    <w:p w:rsidR="00404675" w:rsidRDefault="008375B8" w:rsidP="00E07867">
      <w:pPr>
        <w:pStyle w:val="Stlus4"/>
      </w:pPr>
      <w:r>
        <w:t>A</w:t>
      </w:r>
      <w:r w:rsidR="00E07867">
        <w:t xml:space="preserve"> modell </w:t>
      </w:r>
      <w:r w:rsidR="00404675">
        <w:t>lépcsői a hatás mértékét mutatják meg számunkra</w:t>
      </w:r>
      <w:r w:rsidR="00E07867">
        <w:t>,</w:t>
      </w:r>
      <w:r w:rsidR="00404675">
        <w:t xml:space="preserve"> mely az egyes lépcsőszámhoz tartozó elemző munkalapokon szépen nyomon követhető.</w:t>
      </w:r>
    </w:p>
    <w:p w:rsidR="00404675" w:rsidRDefault="009D5358" w:rsidP="00E07867">
      <w:pPr>
        <w:pStyle w:val="Stlus4"/>
      </w:pPr>
      <w:r>
        <w:rPr>
          <w:noProof/>
        </w:rPr>
        <w:lastRenderedPageBreak/>
        <w:drawing>
          <wp:inline distT="0" distB="0" distL="0" distR="0">
            <wp:extent cx="5589905" cy="288607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45" t="27068" r="1108" b="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29E" w:rsidRPr="006D629E" w:rsidRDefault="00B31AC3" w:rsidP="00023394">
      <w:pPr>
        <w:pStyle w:val="Kpalrs"/>
      </w:pPr>
      <w:fldSimple w:instr=" SEQ ábra \* ARABIC ">
        <w:r w:rsidR="000638C0">
          <w:rPr>
            <w:noProof/>
          </w:rPr>
          <w:t>1</w:t>
        </w:r>
      </w:fldSimple>
      <w:r w:rsidR="006D629E">
        <w:t xml:space="preserve">. ábra </w:t>
      </w:r>
      <w:proofErr w:type="spellStart"/>
      <w:r w:rsidR="006D629E">
        <w:t>Kvartilis</w:t>
      </w:r>
      <w:proofErr w:type="spellEnd"/>
      <w:r w:rsidR="006D629E">
        <w:t xml:space="preserve"> adatok az </w:t>
      </w:r>
      <w:proofErr w:type="spellStart"/>
      <w:r w:rsidR="006D629E">
        <w:t>MCM</w:t>
      </w:r>
      <w:proofErr w:type="spellEnd"/>
      <w:r w:rsidR="006D629E">
        <w:t xml:space="preserve"> módszerrel</w:t>
      </w:r>
      <w:r w:rsidR="001E4EA9">
        <w:t xml:space="preserve"> </w:t>
      </w:r>
      <w:r w:rsidR="0071375C">
        <w:t>(ht</w:t>
      </w:r>
      <w:r w:rsidR="0071375C" w:rsidRPr="00DB1BA4">
        <w:t>tp://</w:t>
      </w:r>
      <w:r w:rsidR="0071375C">
        <w:t>miau.gau.hu</w:t>
      </w:r>
      <w:r w:rsidR="0071375C" w:rsidRPr="00DB1BA4">
        <w:t>/oktatas/2012tavasz/gdp_mcm.xlsx</w:t>
      </w:r>
      <w:r w:rsidR="0071375C">
        <w:t>)</w:t>
      </w:r>
    </w:p>
    <w:p w:rsidR="00CE01BA" w:rsidRDefault="00315AEE" w:rsidP="00023394">
      <w:pPr>
        <w:pStyle w:val="Stlus4"/>
        <w:spacing w:before="120"/>
      </w:pPr>
      <w:r>
        <w:t>Az így kapott eredményeknek két vetülete is van. Egyrészt</w:t>
      </w:r>
      <w:r w:rsidR="003A0D1C">
        <w:t xml:space="preserve"> az 1. </w:t>
      </w:r>
      <w:r>
        <w:t>ábrán látható módon</w:t>
      </w:r>
      <w:r w:rsidR="00E07867">
        <w:t xml:space="preserve"> attól függően, hogy az adott </w:t>
      </w:r>
      <w:r w:rsidR="00797E78">
        <w:t>tényező</w:t>
      </w:r>
      <w:r w:rsidR="00E07867">
        <w:t xml:space="preserve"> melyik </w:t>
      </w:r>
      <w:r w:rsidR="00797E78">
        <w:t>lépcsőben</w:t>
      </w:r>
      <w:r>
        <w:t xml:space="preserve"> kap magas értéket</w:t>
      </w:r>
      <w:r w:rsidR="00E07867">
        <w:t xml:space="preserve">, annyira meghatározó </w:t>
      </w:r>
      <w:r>
        <w:t>a GDP</w:t>
      </w:r>
      <w:r w:rsidR="00404675">
        <w:t xml:space="preserve"> alakításá</w:t>
      </w:r>
      <w:r w:rsidR="00E07867">
        <w:t xml:space="preserve">ban. </w:t>
      </w:r>
      <w:r w:rsidR="000A3796">
        <w:t>Az első lépcső</w:t>
      </w:r>
      <w:r w:rsidR="00E07867">
        <w:t xml:space="preserve"> </w:t>
      </w:r>
      <w:r w:rsidR="00797E78">
        <w:t xml:space="preserve">a </w:t>
      </w:r>
      <w:r w:rsidR="003A0D1C">
        <w:t>legkisebb</w:t>
      </w:r>
      <w:r w:rsidR="00797E78">
        <w:t xml:space="preserve">, míg az </w:t>
      </w:r>
      <w:r w:rsidR="000A3796">
        <w:t>utolsó</w:t>
      </w:r>
      <w:r w:rsidR="00E07867">
        <w:t xml:space="preserve"> a </w:t>
      </w:r>
      <w:r w:rsidR="000A3796">
        <w:t>legnagyobb</w:t>
      </w:r>
      <w:r w:rsidR="00E07867">
        <w:t xml:space="preserve"> </w:t>
      </w:r>
      <w:r w:rsidR="005801A8">
        <w:t xml:space="preserve">bemeneti jelszintet </w:t>
      </w:r>
      <w:r w:rsidR="00E07867">
        <w:t xml:space="preserve">jelenti. </w:t>
      </w:r>
      <w:r>
        <w:t>Másrészt, az eredmények visszavetíthetőek az eredeti rangsormátrixra, ahol az adott lépcsőbe tartozó cellák kapják ezeket az értékeket, tehát az adott ország, adott tulajdonságának, adott évi adata gyakorol ilyen hatást a GDP alakulására.</w:t>
      </w:r>
      <w:r w:rsidR="00CE01BA" w:rsidRPr="00CE01BA">
        <w:t xml:space="preserve"> </w:t>
      </w:r>
      <w:r w:rsidR="00CE01BA">
        <w:t>(2. ábra)</w:t>
      </w:r>
    </w:p>
    <w:p w:rsidR="008375B8" w:rsidRDefault="009D5358" w:rsidP="00E07867">
      <w:pPr>
        <w:pStyle w:val="Stlus4"/>
      </w:pPr>
      <w:r>
        <w:rPr>
          <w:noProof/>
        </w:rPr>
        <w:drawing>
          <wp:inline distT="0" distB="0" distL="0" distR="0">
            <wp:extent cx="5589905" cy="291020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845" t="27068" r="1108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BA" w:rsidRDefault="00B31AC3" w:rsidP="0071375C">
      <w:pPr>
        <w:pStyle w:val="Kpalrs"/>
        <w:jc w:val="both"/>
      </w:pPr>
      <w:fldSimple w:instr=" SEQ ábra \* ARABIC ">
        <w:r w:rsidR="000638C0">
          <w:rPr>
            <w:noProof/>
          </w:rPr>
          <w:t>2</w:t>
        </w:r>
      </w:fldSimple>
      <w:r w:rsidR="00CE01BA">
        <w:t xml:space="preserve">. ábra Országokra visszavetített hatásadatok a </w:t>
      </w:r>
      <w:proofErr w:type="spellStart"/>
      <w:r w:rsidR="00CE01BA">
        <w:t>kvartilis</w:t>
      </w:r>
      <w:proofErr w:type="spellEnd"/>
      <w:r w:rsidR="00CE01BA">
        <w:t xml:space="preserve"> elemzés eredménye alapján</w:t>
      </w:r>
      <w:r w:rsidR="0071375C">
        <w:t xml:space="preserve"> (ht</w:t>
      </w:r>
      <w:r w:rsidR="0071375C" w:rsidRPr="00DB1BA4">
        <w:t>tp://</w:t>
      </w:r>
      <w:r w:rsidR="0071375C">
        <w:t>miau.gau.hu</w:t>
      </w:r>
      <w:r w:rsidR="0071375C" w:rsidRPr="00DB1BA4">
        <w:t>/oktatas/2012tavasz/gdp_mcm.xlsx</w:t>
      </w:r>
      <w:r w:rsidR="0071375C">
        <w:t>)</w:t>
      </w:r>
    </w:p>
    <w:p w:rsidR="00CE01BA" w:rsidRPr="00CE01BA" w:rsidRDefault="00CE01BA" w:rsidP="00023394">
      <w:pPr>
        <w:spacing w:before="120"/>
        <w:jc w:val="both"/>
      </w:pPr>
      <w:r>
        <w:t>A 2. ábra magyarázata tehát, hogy például Ausztria 2005-ös GDP adataira leginkább a hosszú</w:t>
      </w:r>
      <w:r w:rsidR="003A3C53">
        <w:t xml:space="preserve"> </w:t>
      </w:r>
      <w:r>
        <w:t xml:space="preserve">távú kamatszint, legkevésbé pedig a munkanélküliségi ráta és a háztartások végső fogyasztása alakulása gyakorolt hatást. A kivitel-behozatal arány, illetve a külföldi </w:t>
      </w:r>
      <w:proofErr w:type="spellStart"/>
      <w:r>
        <w:t>működőtőke</w:t>
      </w:r>
      <w:proofErr w:type="spellEnd"/>
      <w:r>
        <w:t xml:space="preserve"> beruházások közepes erővel bírtak.</w:t>
      </w:r>
    </w:p>
    <w:p w:rsidR="003A0D1C" w:rsidRDefault="002A1EEC" w:rsidP="00E07867">
      <w:pPr>
        <w:pStyle w:val="Stlus4"/>
      </w:pPr>
      <w:r>
        <w:t>Visszatérve 26 ország összesített adataira, a</w:t>
      </w:r>
      <w:r w:rsidR="008375B8">
        <w:t xml:space="preserve"> négylépcsős m</w:t>
      </w:r>
      <w:r w:rsidR="003A0D1C">
        <w:t>odellben csupán egy adatsor mutat optimum jelleget, az e</w:t>
      </w:r>
      <w:r w:rsidR="003A0D1C" w:rsidRPr="003A0D1C">
        <w:t xml:space="preserve">gy főre jutó közvetlen külföldi </w:t>
      </w:r>
      <w:proofErr w:type="spellStart"/>
      <w:r w:rsidR="003A0D1C" w:rsidRPr="003A0D1C">
        <w:t>m</w:t>
      </w:r>
      <w:r w:rsidR="003A0D1C">
        <w:t>űködőtőke-befektetések</w:t>
      </w:r>
      <w:proofErr w:type="spellEnd"/>
      <w:r w:rsidR="003A0D1C">
        <w:t xml:space="preserve"> állományának </w:t>
      </w:r>
      <w:r w:rsidR="003A0D1C">
        <w:lastRenderedPageBreak/>
        <w:t>minimuma van</w:t>
      </w:r>
      <w:r w:rsidR="00777F8C">
        <w:t>.</w:t>
      </w:r>
      <w:r w:rsidR="003A0D1C">
        <w:t xml:space="preserve"> </w:t>
      </w:r>
      <w:r w:rsidR="00777F8C">
        <w:t>A</w:t>
      </w:r>
      <w:r w:rsidR="003A0D1C">
        <w:t>z optimum számítás általános törvényszerűségeknek megfelelően ennek hatása a legnagyobb, de ezt tökélete</w:t>
      </w:r>
      <w:r w:rsidR="00777F8C">
        <w:t>sen vissza is adja az adatsor, mivel c</w:t>
      </w:r>
      <w:r w:rsidR="003A0D1C">
        <w:t>sak ennek az attribútumnak az értéke veszi fel a maximumot a negyedik lépcsőben.</w:t>
      </w:r>
    </w:p>
    <w:p w:rsidR="008375B8" w:rsidRDefault="003A0D1C" w:rsidP="00E07867">
      <w:pPr>
        <w:pStyle w:val="Stlus4"/>
      </w:pPr>
      <w:r>
        <w:t xml:space="preserve">Az öt és hat lépcsős </w:t>
      </w:r>
      <w:r w:rsidR="008375B8">
        <w:t xml:space="preserve">táblában </w:t>
      </w:r>
      <w:r>
        <w:t xml:space="preserve">2-2 optimummal bíró attribútum is szerepel, ami ellentmond az általános törvényszerűségeknek, mert a lépcsők számának növelése </w:t>
      </w:r>
      <w:r w:rsidR="008375B8">
        <w:t>nem hozott fel több polinom alakzatot</w:t>
      </w:r>
      <w:r w:rsidR="002A1EEC">
        <w:t xml:space="preserve"> (növelve a bizonytalanságot)</w:t>
      </w:r>
      <w:r w:rsidR="008375B8">
        <w:t>,</w:t>
      </w:r>
      <w:r>
        <w:t xml:space="preserve"> sőt csökkent is a számuk. </w:t>
      </w:r>
      <w:r w:rsidR="002A1EEC">
        <w:t xml:space="preserve">A közel azonos eredmény és a polinomok számának csökkenése miatt elkészítettem egy 10 lépcsős modellt is, ahol már valamennyi tényező esetén polinomokkal találkozhatunk, így innét már felesleges is több lépcsővel kísérletezni. A kialakult kép </w:t>
      </w:r>
      <w:r w:rsidR="00000037">
        <w:t>az egyes lépcsőknél a lépcsőszám növekedésével nem változott jelentősen, bár a polinom alakzatok eltérőek, a rájuk illesztett trend függvények irányultsága nem változott.</w:t>
      </w:r>
    </w:p>
    <w:p w:rsidR="00F709FD" w:rsidRDefault="00F709FD" w:rsidP="00B369EB">
      <w:pPr>
        <w:pStyle w:val="Stlus4"/>
        <w:widowControl w:val="0"/>
      </w:pPr>
      <w:r>
        <w:t>A négy, öt, hat és tíz lépcsős elemzéssel kapott adatok összesíthetőek, így már csak az maradt, hogy össze</w:t>
      </w:r>
      <w:r w:rsidR="00777F8C">
        <w:t xml:space="preserve"> kelle</w:t>
      </w:r>
      <w:r>
        <w:t>tt</w:t>
      </w:r>
      <w:r w:rsidR="00777F8C">
        <w:t xml:space="preserve"> vonni a </w:t>
      </w:r>
      <w:r>
        <w:t xml:space="preserve">különböző </w:t>
      </w:r>
      <w:proofErr w:type="spellStart"/>
      <w:r>
        <w:t>MCM-rétegeredményeket</w:t>
      </w:r>
      <w:proofErr w:type="spellEnd"/>
      <w:r>
        <w:t xml:space="preserve">. Az összevonás lényege, </w:t>
      </w:r>
      <w:r w:rsidR="00777F8C">
        <w:t>hogy az általuk le</w:t>
      </w:r>
      <w:r>
        <w:t>írt szakaszokat 1-nek tekintjük. A</w:t>
      </w:r>
      <w:r w:rsidR="00777F8C">
        <w:t xml:space="preserve"> lépcsők száma sze</w:t>
      </w:r>
      <w:r>
        <w:t xml:space="preserve">rinti határoló </w:t>
      </w:r>
      <w:r w:rsidR="00B369EB">
        <w:t xml:space="preserve">pontokat </w:t>
      </w:r>
      <w:r>
        <w:t>felírtam a képviselt intervallum középértékével, majd</w:t>
      </w:r>
      <w:r w:rsidR="00777F8C">
        <w:t xml:space="preserve"> melléjük </w:t>
      </w:r>
      <w:r>
        <w:t xml:space="preserve">írtam </w:t>
      </w:r>
      <w:r w:rsidR="00777F8C">
        <w:t>a lépcsők értékeit attribútumonként.</w:t>
      </w:r>
    </w:p>
    <w:p w:rsidR="00F709FD" w:rsidRDefault="00F709FD" w:rsidP="00F709FD">
      <w:pPr>
        <w:jc w:val="both"/>
      </w:pPr>
      <w:r>
        <w:t>A</w:t>
      </w:r>
      <w:r w:rsidR="00777F8C">
        <w:t xml:space="preserve"> határoló</w:t>
      </w:r>
      <w:r>
        <w:t xml:space="preserve"> </w:t>
      </w:r>
      <w:r w:rsidR="00777F8C">
        <w:t>pontokat</w:t>
      </w:r>
      <w:r>
        <w:t xml:space="preserve"> nagyság szerint sorba rendezve</w:t>
      </w:r>
      <w:r w:rsidR="00777F8C">
        <w:t>, kap</w:t>
      </w:r>
      <w:r>
        <w:t>tam</w:t>
      </w:r>
      <w:r w:rsidR="00777F8C">
        <w:t xml:space="preserve"> azt az összképet, amit a r</w:t>
      </w:r>
      <w:r>
        <w:t>étegek mindösszesen sugallnak.</w:t>
      </w:r>
      <w:r w:rsidR="00777F8C">
        <w:t xml:space="preserve"> </w:t>
      </w:r>
      <w:r>
        <w:t>Az ezekhez illesztett ábrák, valamint a hozzájuk rendelt trendfüggvények</w:t>
      </w:r>
      <w:r w:rsidR="00777F8C">
        <w:t xml:space="preserve"> alapján </w:t>
      </w:r>
      <w:r>
        <w:t xml:space="preserve">már </w:t>
      </w:r>
      <w:r w:rsidR="00777F8C">
        <w:t xml:space="preserve">lehet feltételezni, milyen is a </w:t>
      </w:r>
      <w:proofErr w:type="spellStart"/>
      <w:r w:rsidR="00777F8C">
        <w:t>ceteris</w:t>
      </w:r>
      <w:proofErr w:type="spellEnd"/>
      <w:r w:rsidR="00777F8C">
        <w:t xml:space="preserve"> </w:t>
      </w:r>
      <w:proofErr w:type="spellStart"/>
      <w:r w:rsidR="00777F8C">
        <w:t>paribu</w:t>
      </w:r>
      <w:r>
        <w:t>s</w:t>
      </w:r>
      <w:proofErr w:type="spellEnd"/>
      <w:r>
        <w:t xml:space="preserve"> alakzat a háttérben.</w:t>
      </w:r>
      <w:r w:rsidR="00BD09FE">
        <w:t xml:space="preserve"> (3. ábra)</w:t>
      </w:r>
    </w:p>
    <w:p w:rsidR="00144B9D" w:rsidRPr="00023394" w:rsidRDefault="00144B9D" w:rsidP="00D31812">
      <w:pPr>
        <w:pStyle w:val="Stlus2"/>
        <w:spacing w:before="240"/>
        <w:ind w:left="62"/>
        <w:jc w:val="center"/>
        <w:rPr>
          <w:b/>
          <w:i w:val="0"/>
          <w:u w:val="none"/>
        </w:rPr>
      </w:pPr>
      <w:r w:rsidRPr="00144B9D">
        <w:rPr>
          <w:b/>
          <w:i w:val="0"/>
          <w:u w:val="none"/>
        </w:rPr>
        <w:t>Értékelés, következtetés, javaslatok</w:t>
      </w:r>
    </w:p>
    <w:p w:rsidR="00BD09FE" w:rsidRDefault="00BD09FE" w:rsidP="00E07867">
      <w:pPr>
        <w:pStyle w:val="Stlus4"/>
      </w:pPr>
      <w:r>
        <w:t>Minden végkövetkeztetés beszédes háttere a 3. ábra. Mind az adott tulajdonságok GDP-re gyakorolt hatása, mind a kifejtett hatás és a GDP kapcsolata egyértelműen leolvasható róla.</w:t>
      </w:r>
    </w:p>
    <w:p w:rsidR="000638C0" w:rsidRDefault="009D5358" w:rsidP="000638C0">
      <w:pPr>
        <w:pStyle w:val="Stlus4"/>
        <w:keepNext/>
      </w:pPr>
      <w:r>
        <w:rPr>
          <w:noProof/>
        </w:rPr>
        <w:drawing>
          <wp:inline distT="0" distB="0" distL="0" distR="0">
            <wp:extent cx="5589905" cy="2910205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845" t="27068" r="1108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8C0" w:rsidRDefault="00B31AC3" w:rsidP="00023394">
      <w:pPr>
        <w:pStyle w:val="Kpalrs"/>
        <w:jc w:val="both"/>
      </w:pPr>
      <w:fldSimple w:instr=" SEQ ábra \* ARABIC ">
        <w:r w:rsidR="000638C0">
          <w:rPr>
            <w:noProof/>
          </w:rPr>
          <w:t>3</w:t>
        </w:r>
      </w:fldSimple>
      <w:r w:rsidR="000638C0">
        <w:t xml:space="preserve">. ábra </w:t>
      </w:r>
      <w:proofErr w:type="spellStart"/>
      <w:r w:rsidR="000638C0">
        <w:t>Aggregált</w:t>
      </w:r>
      <w:proofErr w:type="spellEnd"/>
      <w:r w:rsidR="000638C0">
        <w:t xml:space="preserve"> lépcsők függvény és a tulajdonságok diagramjai trendfüggvényekkel</w:t>
      </w:r>
      <w:r w:rsidR="001E4EA9">
        <w:t xml:space="preserve"> </w:t>
      </w:r>
      <w:r w:rsidR="0071375C">
        <w:t>(ht</w:t>
      </w:r>
      <w:r w:rsidR="0071375C" w:rsidRPr="00DB1BA4">
        <w:t>tp://</w:t>
      </w:r>
      <w:r w:rsidR="0071375C">
        <w:t>miau.gau.hu</w:t>
      </w:r>
      <w:r w:rsidR="0071375C" w:rsidRPr="00DB1BA4">
        <w:t>/oktatas/2012tavasz/gdp_mcm.xlsx</w:t>
      </w:r>
      <w:r w:rsidR="0071375C">
        <w:t>)</w:t>
      </w:r>
    </w:p>
    <w:p w:rsidR="00723E35" w:rsidRDefault="001C6099" w:rsidP="0095457F">
      <w:pPr>
        <w:spacing w:before="120"/>
        <w:jc w:val="both"/>
      </w:pPr>
      <w:r>
        <w:t>A</w:t>
      </w:r>
      <w:r w:rsidR="003A3C53">
        <w:t xml:space="preserve"> hullámzások</w:t>
      </w:r>
      <w:r>
        <w:t xml:space="preserve"> oka néhol egyértelmű, néhol némi magyarázatra szorul. Ha a kapott eredményeket már nem csak kicsi, közepes és nagy értékcsoportokba kell besorolni, nyilvánvaló, hogy bonyolódik a kép és a leírt görbe is változatosabb lesz. De vegyük sorra a vizsgált tulajdonságokat. A </w:t>
      </w:r>
      <w:proofErr w:type="spellStart"/>
      <w:r>
        <w:t>hosszútávú</w:t>
      </w:r>
      <w:proofErr w:type="spellEnd"/>
      <w:r>
        <w:t xml:space="preserve"> kamatszint hullámzása, amit elsősorban a jegybanki alapkamat mozgat, már csak a magyarországi kamatalakulást figyelembe véve is érthető. </w:t>
      </w:r>
      <w:r>
        <w:lastRenderedPageBreak/>
        <w:t>(</w:t>
      </w:r>
      <w:hyperlink r:id="rId16" w:history="1">
        <w:r w:rsidRPr="00F6543A">
          <w:rPr>
            <w:rStyle w:val="Hiperhivatkozs"/>
          </w:rPr>
          <w:t>http://www.mnb.hu/Jegybanki_alapkamat_alakulasa</w:t>
        </w:r>
      </w:hyperlink>
      <w:r>
        <w:t>)</w:t>
      </w:r>
      <w:r w:rsidR="00F2466C">
        <w:t xml:space="preserve"> Annál is inkább érvényes ez, mert a monetáris politika eszközeként a monetáris tanács a pénzügyi stabilitás fenntartása érdekében akár havonta változtathat rajta. A kivitel behozatalhoz viszonyított arány</w:t>
      </w:r>
      <w:r w:rsidR="00B52BAC">
        <w:t>ában is sok tényező együttes hatása hozza létre a hullámokat. Részben szezonális hatások, részben a külső és belső piacok keresletének alakulása, részben a devizaárfolyamok alakítják ki az egyenetlen lefutást.</w:t>
      </w:r>
      <w:r>
        <w:t xml:space="preserve"> </w:t>
      </w:r>
      <w:r w:rsidR="00B52BAC">
        <w:t>(</w:t>
      </w:r>
      <w:hyperlink r:id="rId17" w:history="1">
        <w:r w:rsidR="00B52BAC" w:rsidRPr="00F6543A">
          <w:rPr>
            <w:rStyle w:val="Hiperhivatkozs"/>
          </w:rPr>
          <w:t>http://index.hu/gazdasag/magyar/2012/06/01/zsugorodik_a_magyar_export/</w:t>
        </w:r>
      </w:hyperlink>
      <w:r w:rsidR="005167A4">
        <w:t xml:space="preserve">) </w:t>
      </w:r>
      <w:proofErr w:type="gramStart"/>
      <w:r w:rsidR="00B52BAC">
        <w:t>A</w:t>
      </w:r>
      <w:proofErr w:type="gramEnd"/>
      <w:r w:rsidR="00B52BAC">
        <w:t xml:space="preserve"> munkanélküliségi ráta szintén szezonális hatást mutat, gondolva a nyári idénymunkákra, vagy a nyári idegenforgalmi szezonokra, illetve itt már európai mércével mérve a téli idegenforgalmi szezonok is hozhatnak kiugró adatokat.</w:t>
      </w:r>
      <w:r w:rsidR="0095457F">
        <w:t xml:space="preserve"> (</w:t>
      </w:r>
      <w:hyperlink r:id="rId18" w:history="1">
        <w:r w:rsidR="0095457F" w:rsidRPr="00F6543A">
          <w:rPr>
            <w:rStyle w:val="Hiperhivatkozs"/>
          </w:rPr>
          <w:t>http://penzugysziget.hu/index.php?option=com_content&amp;view=article&amp;id=409&amp;Itemid=176</w:t>
        </w:r>
      </w:hyperlink>
      <w:r w:rsidR="0095457F">
        <w:t xml:space="preserve">) </w:t>
      </w:r>
      <w:proofErr w:type="gramStart"/>
      <w:r w:rsidR="0095457F">
        <w:t>A</w:t>
      </w:r>
      <w:proofErr w:type="gramEnd"/>
      <w:r w:rsidR="003A3C53">
        <w:t xml:space="preserve"> háztartások fogyasztási kiadásainak leírását adó hullám felső és alsó pontjaiban </w:t>
      </w:r>
      <w:r w:rsidR="0095457F">
        <w:t xml:space="preserve">is felfedezhető némi szezonalitás (karácsonyi vásárlási láz) amellett, hogy szerkezete és mennyisége nagyban függ a keresettől. </w:t>
      </w:r>
      <w:r>
        <w:t>(</w:t>
      </w:r>
      <w:hyperlink r:id="rId19" w:history="1">
        <w:r w:rsidR="00B52BAC" w:rsidRPr="00F6543A">
          <w:rPr>
            <w:rStyle w:val="Hiperhivatkozs"/>
          </w:rPr>
          <w:t>http://www.ksh.hu/docs/hun/xftp/stattukor/haztfogy/haztfogyelo11.pdf</w:t>
        </w:r>
      </w:hyperlink>
      <w:r>
        <w:t>)</w:t>
      </w:r>
      <w:r w:rsidR="0095457F">
        <w:t xml:space="preserve"> Az egy főre jutó </w:t>
      </w:r>
      <w:proofErr w:type="spellStart"/>
      <w:r w:rsidR="0095457F">
        <w:t>működőtőke</w:t>
      </w:r>
      <w:proofErr w:type="spellEnd"/>
      <w:r w:rsidR="0095457F">
        <w:t xml:space="preserve"> beruházások szempontjából nézve szintén kézen fekvő a nem lineáris futás. </w:t>
      </w:r>
      <w:r w:rsidR="00511EB6">
        <w:t xml:space="preserve">A </w:t>
      </w:r>
      <w:r w:rsidR="0095457F">
        <w:t xml:space="preserve">befektetési kedvet a </w:t>
      </w:r>
      <w:r w:rsidR="00AB5969">
        <w:t xml:space="preserve">mindenkori gazdasági környezet és a jövőbeni kilátások befolyásolják, nem tételezhető fel tehát egy egyenletes és töretlen tőke beruházási kedv. </w:t>
      </w:r>
      <w:r w:rsidR="00B52BAC">
        <w:t>Végül</w:t>
      </w:r>
      <w:r w:rsidR="00AB5969">
        <w:t>,</w:t>
      </w:r>
      <w:r w:rsidR="00B52BAC">
        <w:t xml:space="preserve"> mint okot, valamennyi tulajdonságnál meg kell jegyezni a 2007 óta jelenlévő válságot és annak hatásait, a sokszor ideges piacok által keltett irracionális gazdasági hatásokkal együtt.</w:t>
      </w:r>
    </w:p>
    <w:p w:rsidR="00F41061" w:rsidRDefault="00BD09FE" w:rsidP="00023394">
      <w:pPr>
        <w:pStyle w:val="Stlus4"/>
        <w:spacing w:before="120" w:after="0"/>
      </w:pPr>
      <w:r>
        <w:t xml:space="preserve">Az öt tényezőből négy nagyon gyenge, vagy kismértékű hatást gyakorol az Y-ra, viszont </w:t>
      </w:r>
      <w:r w:rsidR="00F41061">
        <w:t xml:space="preserve">hozzájuk viszonyítva </w:t>
      </w:r>
      <w:r>
        <w:t xml:space="preserve">a </w:t>
      </w:r>
      <w:proofErr w:type="spellStart"/>
      <w:r>
        <w:t>működőtőke</w:t>
      </w:r>
      <w:proofErr w:type="spellEnd"/>
      <w:r>
        <w:t xml:space="preserve"> beruházások közel kétszeres mértékben hatnak a GDP alakulására. Érdekes megfigyelni, hogy milyen minimális </w:t>
      </w:r>
      <w:r w:rsidR="00F41061">
        <w:t xml:space="preserve">hatást gyakorol </w:t>
      </w:r>
      <w:r>
        <w:t xml:space="preserve">a </w:t>
      </w:r>
      <w:proofErr w:type="spellStart"/>
      <w:r>
        <w:t>hosszútávú</w:t>
      </w:r>
      <w:proofErr w:type="spellEnd"/>
      <w:r>
        <w:t xml:space="preserve"> kamatszint, valamint a háztartások fogyasztásának volumenváltozása</w:t>
      </w:r>
      <w:r w:rsidR="00F41061">
        <w:t xml:space="preserve">, sőt még az export-import arány sem éri el a közepes értéket. A külföldi </w:t>
      </w:r>
      <w:proofErr w:type="spellStart"/>
      <w:r w:rsidR="00F41061">
        <w:t>működőtőke</w:t>
      </w:r>
      <w:proofErr w:type="spellEnd"/>
      <w:r w:rsidR="00F41061">
        <w:t xml:space="preserve"> beruházásoknak ezek szerint viszont erősen ki van szolgáltatva minden gazdaság. Bár az elemzés az EU 26 országát öleli fel, de érdemes lenne megvizsgálni, mekkora a szerepe a kapott eredményben az évszázados belső forráshiánnyal küzdő kelet-közép-európai országoknak</w:t>
      </w:r>
      <w:r w:rsidR="0071375C">
        <w:t>.</w:t>
      </w:r>
    </w:p>
    <w:p w:rsidR="003C5B06" w:rsidRDefault="00BD09FE" w:rsidP="00C45D38">
      <w:pPr>
        <w:pStyle w:val="Stlus4"/>
        <w:spacing w:before="120"/>
      </w:pPr>
      <w:r>
        <w:t xml:space="preserve">A fentiek alapján jól kitűnik a fordított arányosság az egy főre jutó GDP és a háztartások végső fogyasztásának volumenváltozásai, a hosszú távú kamatszint és a munkanélküliségi ráta között. A kivitel-behozatal aránya és az egy főre jutó </w:t>
      </w:r>
      <w:proofErr w:type="spellStart"/>
      <w:r>
        <w:t>működőtőke</w:t>
      </w:r>
      <w:proofErr w:type="spellEnd"/>
      <w:r>
        <w:t xml:space="preserve"> beruházások viszont egyenes arányossággal viszonyulnak az Y-hoz. </w:t>
      </w:r>
    </w:p>
    <w:p w:rsidR="00BD09FE" w:rsidRDefault="00BD09FE" w:rsidP="00353A45">
      <w:pPr>
        <w:pStyle w:val="Stlus4"/>
      </w:pPr>
      <w:r>
        <w:t xml:space="preserve">A felvetett kérdés immár statisztikai támaszt is kapott és csupán egyetlen előfeltevés bizonyult tévesnek. </w:t>
      </w:r>
      <w:r w:rsidR="00F41061">
        <w:t xml:space="preserve">Érdekes módon, a háztartások fogyasztásainak volumenváltozása minél kisebb, annál jobban támogatja a GDP növekedését. Tehát ha jobban élünk, nem biztos, hogy többet is költünk. </w:t>
      </w:r>
      <w:r w:rsidR="00410FDF">
        <w:t>Logikusnak is tűnik, hogy egy magasabb teljesítményű, tehát hatékonyabb gazdaságban a verseny alacsonyabb árakat és díjakat eredményezve a megnövekedett fogyasztás végső mértékét mérsékli. De ez már egy újabb találgatás és e</w:t>
      </w:r>
      <w:r w:rsidR="00F41061">
        <w:t xml:space="preserve">nnek magyarázata </w:t>
      </w:r>
      <w:r w:rsidR="00410FDF">
        <w:t>is lehetne újabb elemzési téma.</w:t>
      </w:r>
    </w:p>
    <w:p w:rsidR="00DD702A" w:rsidRDefault="00CE13E8" w:rsidP="00DD702A">
      <w:pPr>
        <w:pStyle w:val="Stlus4"/>
      </w:pPr>
      <w:r>
        <w:t>Ami viszont biztos, hogy a fenti öt tényező helyére más és más társadalmi-gazdasági mutatót illesztve, vagy azok számát bővítve, igazolható eredményt kapunk és kijelentéseink szilárd talajon állhatnak majd.</w:t>
      </w:r>
    </w:p>
    <w:sectPr w:rsidR="00DD702A" w:rsidSect="00125CD8">
      <w:headerReference w:type="even" r:id="rId20"/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C5" w:rsidRDefault="009077C5">
      <w:r>
        <w:separator/>
      </w:r>
    </w:p>
  </w:endnote>
  <w:endnote w:type="continuationSeparator" w:id="0">
    <w:p w:rsidR="009077C5" w:rsidRDefault="00907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CA7" w:rsidRDefault="00B31AC3">
    <w:pPr>
      <w:pStyle w:val="llb"/>
      <w:jc w:val="center"/>
    </w:pPr>
    <w:fldSimple w:instr=" PAGE   \* MERGEFORMAT ">
      <w:r w:rsidR="00D44141">
        <w:rPr>
          <w:noProof/>
        </w:rPr>
        <w:t>1</w:t>
      </w:r>
    </w:fldSimple>
  </w:p>
  <w:p w:rsidR="00F83CA7" w:rsidRDefault="00F83CA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C5" w:rsidRDefault="009077C5">
      <w:r>
        <w:separator/>
      </w:r>
    </w:p>
  </w:footnote>
  <w:footnote w:type="continuationSeparator" w:id="0">
    <w:p w:rsidR="009077C5" w:rsidRDefault="009077C5">
      <w:r>
        <w:continuationSeparator/>
      </w:r>
    </w:p>
  </w:footnote>
  <w:footnote w:id="1">
    <w:p w:rsidR="00C962C6" w:rsidRDefault="00C962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C962C6">
        <w:t>forrás</w:t>
      </w:r>
      <w:proofErr w:type="gramEnd"/>
      <w:r w:rsidRPr="00C962C6">
        <w:t>:http://www.ecb.int/press/pr/date/2010/html/pr100512.hu.html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00" w:rsidRDefault="00B31AC3" w:rsidP="00AD4D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A0F0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A0F00" w:rsidRDefault="00CA0F00" w:rsidP="00AD4D32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00" w:rsidRDefault="00CA0F00" w:rsidP="00AD4D32">
    <w:pPr>
      <w:pStyle w:val="lfej"/>
      <w:framePr w:wrap="around" w:vAnchor="text" w:hAnchor="margin" w:xAlign="center" w:y="1"/>
      <w:rPr>
        <w:rStyle w:val="Oldalszm"/>
      </w:rPr>
    </w:pPr>
  </w:p>
  <w:p w:rsidR="00CA0F00" w:rsidRDefault="0063451D" w:rsidP="00AD4D32">
    <w:pPr>
      <w:pStyle w:val="lfej"/>
      <w:ind w:right="360"/>
      <w:rPr>
        <w:sz w:val="18"/>
        <w:szCs w:val="18"/>
      </w:rPr>
    </w:pPr>
    <w:r>
      <w:rPr>
        <w:sz w:val="18"/>
        <w:szCs w:val="18"/>
      </w:rPr>
      <w:t>Ács Pál Péter</w:t>
    </w:r>
    <w:r w:rsidR="00CA0F00">
      <w:rPr>
        <w:sz w:val="18"/>
        <w:szCs w:val="18"/>
      </w:rPr>
      <w:tab/>
    </w:r>
    <w:r w:rsidR="00CA0F00">
      <w:rPr>
        <w:sz w:val="18"/>
        <w:szCs w:val="18"/>
      </w:rPr>
      <w:tab/>
    </w:r>
    <w:r>
      <w:rPr>
        <w:sz w:val="18"/>
        <w:szCs w:val="18"/>
      </w:rPr>
      <w:t>LIXHNP</w:t>
    </w:r>
  </w:p>
  <w:p w:rsidR="00CA0F00" w:rsidRDefault="00CA0F00">
    <w:pPr>
      <w:pStyle w:val="lfej"/>
      <w:rPr>
        <w:sz w:val="18"/>
        <w:szCs w:val="18"/>
      </w:rPr>
    </w:pPr>
    <w:r>
      <w:rPr>
        <w:sz w:val="18"/>
        <w:szCs w:val="18"/>
      </w:rPr>
      <w:t>Gazdaságelemzés szak</w:t>
    </w:r>
  </w:p>
  <w:p w:rsidR="00CA0F00" w:rsidRPr="00C63EA9" w:rsidRDefault="00CA0F00">
    <w:pPr>
      <w:pStyle w:val="lfej"/>
      <w:rPr>
        <w:sz w:val="18"/>
        <w:szCs w:val="18"/>
      </w:rPr>
    </w:pPr>
    <w:r>
      <w:rPr>
        <w:sz w:val="18"/>
        <w:szCs w:val="18"/>
      </w:rPr>
      <w:t>Levelező II. évfolyam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D8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5E9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2808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0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BC2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B4A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92A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66D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D43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D63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62BA"/>
    <w:multiLevelType w:val="hybridMultilevel"/>
    <w:tmpl w:val="DEB2D0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D84416"/>
    <w:multiLevelType w:val="hybridMultilevel"/>
    <w:tmpl w:val="6E4E49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CB5ECE"/>
    <w:multiLevelType w:val="hybridMultilevel"/>
    <w:tmpl w:val="8BE44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25810"/>
    <w:multiLevelType w:val="hybridMultilevel"/>
    <w:tmpl w:val="4CE8B2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592B"/>
    <w:multiLevelType w:val="hybridMultilevel"/>
    <w:tmpl w:val="2A5C9454"/>
    <w:lvl w:ilvl="0" w:tplc="8F0AE4C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2931AE3"/>
    <w:multiLevelType w:val="hybridMultilevel"/>
    <w:tmpl w:val="4410A7A8"/>
    <w:lvl w:ilvl="0" w:tplc="8F0AE4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1501C"/>
    <w:multiLevelType w:val="hybridMultilevel"/>
    <w:tmpl w:val="E6EEC982"/>
    <w:lvl w:ilvl="0" w:tplc="C6D2DC38">
      <w:start w:val="3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9D557BD"/>
    <w:multiLevelType w:val="hybridMultilevel"/>
    <w:tmpl w:val="5CEAF6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258B7"/>
    <w:multiLevelType w:val="multilevel"/>
    <w:tmpl w:val="DEB2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FE1613"/>
    <w:multiLevelType w:val="hybridMultilevel"/>
    <w:tmpl w:val="95B6DC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456EFF"/>
    <w:multiLevelType w:val="hybridMultilevel"/>
    <w:tmpl w:val="EF8E9D3A"/>
    <w:lvl w:ilvl="0" w:tplc="8F0AE4C6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9"/>
  </w:num>
  <w:num w:numId="14">
    <w:abstractNumId w:val="10"/>
  </w:num>
  <w:num w:numId="15">
    <w:abstractNumId w:val="18"/>
  </w:num>
  <w:num w:numId="16">
    <w:abstractNumId w:val="17"/>
  </w:num>
  <w:num w:numId="17">
    <w:abstractNumId w:val="15"/>
  </w:num>
  <w:num w:numId="18">
    <w:abstractNumId w:val="14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0004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DCF"/>
    <w:rsid w:val="00000037"/>
    <w:rsid w:val="00023394"/>
    <w:rsid w:val="000638C0"/>
    <w:rsid w:val="000656EA"/>
    <w:rsid w:val="000A3796"/>
    <w:rsid w:val="000C3D20"/>
    <w:rsid w:val="000C4CD2"/>
    <w:rsid w:val="000E0B52"/>
    <w:rsid w:val="00104C65"/>
    <w:rsid w:val="001059B6"/>
    <w:rsid w:val="00125CD8"/>
    <w:rsid w:val="001372FB"/>
    <w:rsid w:val="00144B9D"/>
    <w:rsid w:val="0014616F"/>
    <w:rsid w:val="001C6099"/>
    <w:rsid w:val="001D4F3F"/>
    <w:rsid w:val="001E4EA9"/>
    <w:rsid w:val="00217707"/>
    <w:rsid w:val="00220380"/>
    <w:rsid w:val="00236A90"/>
    <w:rsid w:val="00265ABC"/>
    <w:rsid w:val="0029185A"/>
    <w:rsid w:val="0029750C"/>
    <w:rsid w:val="002A1EEC"/>
    <w:rsid w:val="002A4AE2"/>
    <w:rsid w:val="002D0AB1"/>
    <w:rsid w:val="002D5303"/>
    <w:rsid w:val="00303EDC"/>
    <w:rsid w:val="00305DAF"/>
    <w:rsid w:val="00315AEE"/>
    <w:rsid w:val="00324369"/>
    <w:rsid w:val="00337E98"/>
    <w:rsid w:val="00340F98"/>
    <w:rsid w:val="00353A45"/>
    <w:rsid w:val="00364C3F"/>
    <w:rsid w:val="003972A1"/>
    <w:rsid w:val="003975F3"/>
    <w:rsid w:val="003A078E"/>
    <w:rsid w:val="003A0D1C"/>
    <w:rsid w:val="003A3C53"/>
    <w:rsid w:val="003A67F1"/>
    <w:rsid w:val="003C1B6A"/>
    <w:rsid w:val="003C5B06"/>
    <w:rsid w:val="003D79BF"/>
    <w:rsid w:val="00404675"/>
    <w:rsid w:val="00404DE2"/>
    <w:rsid w:val="00410FDF"/>
    <w:rsid w:val="00442EC7"/>
    <w:rsid w:val="00457045"/>
    <w:rsid w:val="0045743E"/>
    <w:rsid w:val="0046046D"/>
    <w:rsid w:val="004A6F1D"/>
    <w:rsid w:val="004C16F9"/>
    <w:rsid w:val="004C52A0"/>
    <w:rsid w:val="004F0EB2"/>
    <w:rsid w:val="00511EB6"/>
    <w:rsid w:val="005167A4"/>
    <w:rsid w:val="0053065E"/>
    <w:rsid w:val="00544EAC"/>
    <w:rsid w:val="00550733"/>
    <w:rsid w:val="005801A8"/>
    <w:rsid w:val="005A2007"/>
    <w:rsid w:val="005A2795"/>
    <w:rsid w:val="005B2D00"/>
    <w:rsid w:val="005C2E92"/>
    <w:rsid w:val="005F632B"/>
    <w:rsid w:val="00611D05"/>
    <w:rsid w:val="0063451D"/>
    <w:rsid w:val="00656ED1"/>
    <w:rsid w:val="0067206B"/>
    <w:rsid w:val="00684784"/>
    <w:rsid w:val="00690371"/>
    <w:rsid w:val="00695759"/>
    <w:rsid w:val="0069576D"/>
    <w:rsid w:val="006A376F"/>
    <w:rsid w:val="006B271A"/>
    <w:rsid w:val="006C32A9"/>
    <w:rsid w:val="006D629E"/>
    <w:rsid w:val="006D7BD6"/>
    <w:rsid w:val="00707E8D"/>
    <w:rsid w:val="0071375C"/>
    <w:rsid w:val="00723E35"/>
    <w:rsid w:val="007372B7"/>
    <w:rsid w:val="007536A9"/>
    <w:rsid w:val="00770A70"/>
    <w:rsid w:val="00777F8C"/>
    <w:rsid w:val="00797E78"/>
    <w:rsid w:val="007A5A99"/>
    <w:rsid w:val="007B538F"/>
    <w:rsid w:val="007D4C81"/>
    <w:rsid w:val="008375B8"/>
    <w:rsid w:val="008565F4"/>
    <w:rsid w:val="00867640"/>
    <w:rsid w:val="0087256A"/>
    <w:rsid w:val="008857FE"/>
    <w:rsid w:val="008A3552"/>
    <w:rsid w:val="008B5DC1"/>
    <w:rsid w:val="008C5B7D"/>
    <w:rsid w:val="008E1C33"/>
    <w:rsid w:val="008E6C13"/>
    <w:rsid w:val="0090623E"/>
    <w:rsid w:val="009077C5"/>
    <w:rsid w:val="009333F2"/>
    <w:rsid w:val="00933C76"/>
    <w:rsid w:val="00943CC0"/>
    <w:rsid w:val="0095318C"/>
    <w:rsid w:val="0095457F"/>
    <w:rsid w:val="0096315B"/>
    <w:rsid w:val="009A29D3"/>
    <w:rsid w:val="009A4FCB"/>
    <w:rsid w:val="009D5358"/>
    <w:rsid w:val="009E0986"/>
    <w:rsid w:val="009E20F2"/>
    <w:rsid w:val="00A00213"/>
    <w:rsid w:val="00A119A9"/>
    <w:rsid w:val="00A52D2F"/>
    <w:rsid w:val="00AA368B"/>
    <w:rsid w:val="00AA7CC3"/>
    <w:rsid w:val="00AB3D2D"/>
    <w:rsid w:val="00AB5969"/>
    <w:rsid w:val="00AC6DCF"/>
    <w:rsid w:val="00AD4D32"/>
    <w:rsid w:val="00B0475F"/>
    <w:rsid w:val="00B2474C"/>
    <w:rsid w:val="00B31AC3"/>
    <w:rsid w:val="00B369EB"/>
    <w:rsid w:val="00B52BAC"/>
    <w:rsid w:val="00B72F11"/>
    <w:rsid w:val="00B8107E"/>
    <w:rsid w:val="00B876F6"/>
    <w:rsid w:val="00BA58E6"/>
    <w:rsid w:val="00BA6B7D"/>
    <w:rsid w:val="00BD09FE"/>
    <w:rsid w:val="00BD1D8C"/>
    <w:rsid w:val="00BE0530"/>
    <w:rsid w:val="00C03323"/>
    <w:rsid w:val="00C113DE"/>
    <w:rsid w:val="00C45D38"/>
    <w:rsid w:val="00C60D6D"/>
    <w:rsid w:val="00C63EA9"/>
    <w:rsid w:val="00C67870"/>
    <w:rsid w:val="00C752C8"/>
    <w:rsid w:val="00C7564B"/>
    <w:rsid w:val="00C962C6"/>
    <w:rsid w:val="00C97D34"/>
    <w:rsid w:val="00CA0F00"/>
    <w:rsid w:val="00CA26FE"/>
    <w:rsid w:val="00CC49EE"/>
    <w:rsid w:val="00CD56D8"/>
    <w:rsid w:val="00CE01BA"/>
    <w:rsid w:val="00CE13E8"/>
    <w:rsid w:val="00CF5346"/>
    <w:rsid w:val="00CF597A"/>
    <w:rsid w:val="00D17E9B"/>
    <w:rsid w:val="00D25A53"/>
    <w:rsid w:val="00D31812"/>
    <w:rsid w:val="00D42788"/>
    <w:rsid w:val="00D44141"/>
    <w:rsid w:val="00D504FD"/>
    <w:rsid w:val="00D54FDB"/>
    <w:rsid w:val="00D7575E"/>
    <w:rsid w:val="00DB1BA4"/>
    <w:rsid w:val="00DB54A7"/>
    <w:rsid w:val="00DD1F07"/>
    <w:rsid w:val="00DD702A"/>
    <w:rsid w:val="00DD7D90"/>
    <w:rsid w:val="00E07867"/>
    <w:rsid w:val="00E35802"/>
    <w:rsid w:val="00E3714D"/>
    <w:rsid w:val="00E5155B"/>
    <w:rsid w:val="00E70219"/>
    <w:rsid w:val="00EA6916"/>
    <w:rsid w:val="00EE36AB"/>
    <w:rsid w:val="00EF5BF4"/>
    <w:rsid w:val="00F009F2"/>
    <w:rsid w:val="00F139B8"/>
    <w:rsid w:val="00F2466C"/>
    <w:rsid w:val="00F41061"/>
    <w:rsid w:val="00F5619C"/>
    <w:rsid w:val="00F709FD"/>
    <w:rsid w:val="00F83CA7"/>
    <w:rsid w:val="00FA4672"/>
    <w:rsid w:val="00FB0164"/>
    <w:rsid w:val="00FC6B7F"/>
    <w:rsid w:val="00FE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3A45"/>
    <w:rPr>
      <w:sz w:val="24"/>
      <w:szCs w:val="24"/>
    </w:rPr>
  </w:style>
  <w:style w:type="paragraph" w:styleId="Cmsor3">
    <w:name w:val="heading 3"/>
    <w:basedOn w:val="Norml"/>
    <w:next w:val="Norml"/>
    <w:qFormat/>
    <w:rsid w:val="000C4C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0C4C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0C4C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C4C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4">
    <w:name w:val="Stílus4"/>
    <w:basedOn w:val="Norml"/>
    <w:rsid w:val="00353A45"/>
    <w:pPr>
      <w:spacing w:after="120"/>
      <w:jc w:val="both"/>
    </w:pPr>
  </w:style>
  <w:style w:type="character" w:styleId="Hiperhivatkozs">
    <w:name w:val="Hyperlink"/>
    <w:basedOn w:val="Bekezdsalapbettpusa"/>
    <w:rsid w:val="00353A45"/>
    <w:rPr>
      <w:color w:val="0000FF"/>
      <w:u w:val="single"/>
    </w:rPr>
  </w:style>
  <w:style w:type="paragraph" w:customStyle="1" w:styleId="Stlus2">
    <w:name w:val="Stílus2"/>
    <w:basedOn w:val="Norml"/>
    <w:rsid w:val="00353A45"/>
    <w:pPr>
      <w:spacing w:after="120"/>
      <w:ind w:left="60"/>
    </w:pPr>
    <w:rPr>
      <w:i/>
      <w:u w:val="single"/>
    </w:rPr>
  </w:style>
  <w:style w:type="paragraph" w:styleId="lfej">
    <w:name w:val="header"/>
    <w:basedOn w:val="Norml"/>
    <w:link w:val="lfejChar"/>
    <w:uiPriority w:val="99"/>
    <w:rsid w:val="00C63EA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C63EA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D4D32"/>
  </w:style>
  <w:style w:type="character" w:styleId="Jegyzethivatkozs">
    <w:name w:val="annotation reference"/>
    <w:basedOn w:val="Bekezdsalapbettpusa"/>
    <w:semiHidden/>
    <w:rsid w:val="009E0986"/>
    <w:rPr>
      <w:sz w:val="16"/>
      <w:szCs w:val="16"/>
    </w:rPr>
  </w:style>
  <w:style w:type="paragraph" w:styleId="Jegyzetszveg">
    <w:name w:val="annotation text"/>
    <w:basedOn w:val="Norml"/>
    <w:semiHidden/>
    <w:rsid w:val="009E098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9E0986"/>
    <w:rPr>
      <w:b/>
      <w:bCs/>
    </w:rPr>
  </w:style>
  <w:style w:type="paragraph" w:styleId="Buborkszveg">
    <w:name w:val="Balloon Text"/>
    <w:basedOn w:val="Norml"/>
    <w:semiHidden/>
    <w:rsid w:val="009E098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4C52A0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4C52A0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F83CA7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F83CA7"/>
    <w:rPr>
      <w:sz w:val="24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6D629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u.gau.hu/myx-free/coco/index.html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penzugysziget.hu/index.php?option=com_content&amp;view=article&amp;id=409&amp;Itemid=176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erstebank.hu/hu/sajto/2010-ii-felev/2010-augusztus-13" TargetMode="External"/><Relationship Id="rId17" Type="http://schemas.openxmlformats.org/officeDocument/2006/relationships/hyperlink" Target="http://index.hu/gazdasag/magyar/2012/06/01/zsugorodik_a_magyar_expo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b.hu/Jegybanki_alapkamat_alakulas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p.eurostat.ec.europa.eu/tgm/table.do?tab=table&amp;init=1&amp;plugin=1&amp;language=en&amp;pcode=tec00096)%20A%20k&#233;t%20adatsor%20eredm&#233;nyeinek%20&#246;sszevet&#233;s&#233;re%20-%20az%20azonoss&#225;g%20felt&#225;r&#225;sa%20&#233;rdek&#233;ben%20-%20nem%20volt%20sz&#252;ks&#233;g,%20mert%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erstebank.hu/hu/sajto/2010-ii-felev/2010-augusztus-13" TargetMode="External"/><Relationship Id="rId19" Type="http://schemas.openxmlformats.org/officeDocument/2006/relationships/hyperlink" Target="http://www.ksh.hu/docs/hun/xftp/stattukor/haztfogy/haztfogyelo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h.hu/docs/hun/xstadat/xstadat_eves/i_int024b.html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A0E18-3269-4E5B-9702-5529FC09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2333</Words>
  <Characters>16100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Bűnözés vizsgálata, Monte-Carlo módszerrel, 2001-es adatok alapján (mcm_vip</vt:lpstr>
    </vt:vector>
  </TitlesOfParts>
  <Company/>
  <LinksUpToDate>false</LinksUpToDate>
  <CharactersWithSpaces>18397</CharactersWithSpaces>
  <SharedDoc>false</SharedDoc>
  <HLinks>
    <vt:vector size="18" baseType="variant"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http://epp.eurostat.ec.europa.eu/tgm/table.do?tab=table&amp;init=1&amp;plugin=1&amp;language=en&amp;pcode=tec00096</vt:lpwstr>
      </vt:variant>
      <vt:variant>
        <vt:lpwstr/>
      </vt:variant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http://www.ksh.hu/docs/hun/xstadat/xstadat_eves/i_int024b.html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http://miau.gau.hu/myx-free/coco/index.html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Bűnözés vizsgálata, Monte-Carlo módszerrel, 2001-es adatok alapján (mcm_vip</dc:title>
  <dc:creator>ogm</dc:creator>
  <cp:lastModifiedBy>pl11</cp:lastModifiedBy>
  <cp:revision>2</cp:revision>
  <dcterms:created xsi:type="dcterms:W3CDTF">2012-08-15T12:30:00Z</dcterms:created>
  <dcterms:modified xsi:type="dcterms:W3CDTF">2012-08-15T12:30:00Z</dcterms:modified>
</cp:coreProperties>
</file>