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20" w:rsidRPr="00B5196D" w:rsidRDefault="00232A0F" w:rsidP="00232A0F">
      <w:pPr>
        <w:tabs>
          <w:tab w:val="center" w:pos="5954"/>
        </w:tabs>
        <w:jc w:val="center"/>
        <w:rPr>
          <w:b/>
          <w:caps/>
          <w:kern w:val="32"/>
          <w:sz w:val="32"/>
          <w:szCs w:val="32"/>
        </w:rPr>
      </w:pPr>
      <w:r w:rsidRPr="00B5196D">
        <w:rPr>
          <w:b/>
          <w:caps/>
          <w:kern w:val="32"/>
          <w:sz w:val="32"/>
          <w:szCs w:val="32"/>
        </w:rPr>
        <w:t>E</w:t>
      </w:r>
      <w:r w:rsidR="00ED1042" w:rsidRPr="00B5196D">
        <w:rPr>
          <w:b/>
          <w:caps/>
          <w:kern w:val="32"/>
          <w:sz w:val="32"/>
          <w:szCs w:val="32"/>
        </w:rPr>
        <w:t>gy keres</w:t>
      </w:r>
      <w:r w:rsidR="00021220" w:rsidRPr="00B5196D">
        <w:rPr>
          <w:b/>
          <w:caps/>
          <w:kern w:val="32"/>
          <w:sz w:val="32"/>
          <w:szCs w:val="32"/>
        </w:rPr>
        <w:t>let-előrejelző modell kritikája</w:t>
      </w:r>
    </w:p>
    <w:p w:rsidR="00232A0F" w:rsidRPr="00B5196D" w:rsidRDefault="00ED1042" w:rsidP="00232A0F">
      <w:pPr>
        <w:tabs>
          <w:tab w:val="center" w:pos="5954"/>
        </w:tabs>
        <w:jc w:val="center"/>
        <w:rPr>
          <w:b/>
          <w:caps/>
          <w:kern w:val="32"/>
          <w:sz w:val="32"/>
          <w:szCs w:val="32"/>
        </w:rPr>
      </w:pPr>
      <w:r w:rsidRPr="00B5196D">
        <w:rPr>
          <w:b/>
          <w:caps/>
          <w:kern w:val="32"/>
          <w:sz w:val="32"/>
          <w:szCs w:val="32"/>
        </w:rPr>
        <w:t>és fejlesztési lehetőségei II.</w:t>
      </w:r>
    </w:p>
    <w:p w:rsidR="00232A0F" w:rsidRPr="009C2CE1" w:rsidRDefault="00232A0F" w:rsidP="00232A0F">
      <w:pPr>
        <w:tabs>
          <w:tab w:val="center" w:pos="5954"/>
        </w:tabs>
        <w:jc w:val="center"/>
        <w:rPr>
          <w:b/>
          <w:sz w:val="32"/>
          <w:szCs w:val="32"/>
        </w:rPr>
      </w:pPr>
    </w:p>
    <w:p w:rsidR="00232A0F" w:rsidRPr="00FE6965" w:rsidRDefault="00021220" w:rsidP="00232A0F">
      <w:pPr>
        <w:tabs>
          <w:tab w:val="center" w:pos="5954"/>
        </w:tabs>
        <w:jc w:val="center"/>
        <w:rPr>
          <w:b/>
          <w:i/>
        </w:rPr>
      </w:pPr>
      <w:r>
        <w:rPr>
          <w:b/>
          <w:i/>
        </w:rPr>
        <w:t>Varga Zoltán</w:t>
      </w:r>
    </w:p>
    <w:p w:rsidR="00232A0F" w:rsidRDefault="00021220" w:rsidP="00232A0F">
      <w:pPr>
        <w:tabs>
          <w:tab w:val="center" w:pos="5954"/>
        </w:tabs>
        <w:jc w:val="center"/>
        <w:rPr>
          <w:i/>
        </w:rPr>
      </w:pPr>
      <w:r>
        <w:rPr>
          <w:i/>
        </w:rPr>
        <w:t>Szent István Egyetem</w:t>
      </w:r>
      <w:r w:rsidR="00232A0F" w:rsidRPr="00FE6965">
        <w:rPr>
          <w:i/>
        </w:rPr>
        <w:t xml:space="preserve">, </w:t>
      </w:r>
      <w:r>
        <w:rPr>
          <w:i/>
        </w:rPr>
        <w:t>PhD hallgató</w:t>
      </w:r>
      <w:r w:rsidR="00232A0F" w:rsidRPr="00FE6965">
        <w:rPr>
          <w:i/>
        </w:rPr>
        <w:t xml:space="preserve">, </w:t>
      </w:r>
      <w:r>
        <w:rPr>
          <w:i/>
        </w:rPr>
        <w:t>zvarga87@gmail.com</w:t>
      </w:r>
      <w:r w:rsidR="00232A0F">
        <w:rPr>
          <w:i/>
        </w:rPr>
        <w:t xml:space="preserve"> </w:t>
      </w:r>
    </w:p>
    <w:p w:rsidR="00232A0F" w:rsidRDefault="00232A0F" w:rsidP="00232A0F">
      <w:pPr>
        <w:tabs>
          <w:tab w:val="center" w:pos="5954"/>
        </w:tabs>
        <w:jc w:val="center"/>
        <w:rPr>
          <w:i/>
        </w:rPr>
      </w:pPr>
    </w:p>
    <w:p w:rsidR="00232A0F" w:rsidRDefault="00232A0F" w:rsidP="00232A0F">
      <w:pPr>
        <w:tabs>
          <w:tab w:val="center" w:pos="5954"/>
        </w:tabs>
        <w:jc w:val="center"/>
        <w:rPr>
          <w:i/>
        </w:rPr>
      </w:pPr>
    </w:p>
    <w:p w:rsidR="00232A0F" w:rsidRPr="00D85B54" w:rsidRDefault="00232A0F" w:rsidP="00232A0F">
      <w:pPr>
        <w:tabs>
          <w:tab w:val="center" w:pos="5954"/>
        </w:tabs>
        <w:rPr>
          <w:b/>
        </w:rPr>
      </w:pPr>
      <w:r w:rsidRPr="00FE6965">
        <w:rPr>
          <w:b/>
        </w:rPr>
        <w:t>Absztrakt</w:t>
      </w:r>
    </w:p>
    <w:p w:rsidR="006E41B0" w:rsidRDefault="00021220" w:rsidP="00021220">
      <w:pPr>
        <w:jc w:val="both"/>
      </w:pPr>
      <w:r>
        <w:t>A Debrecenben</w:t>
      </w:r>
      <w:r w:rsidR="00B727AA">
        <w:t>,</w:t>
      </w:r>
      <w:r>
        <w:t xml:space="preserve"> 2014-ben megrendezett Tavaszi Szél Konferencia óta eltelt egy év alatt, az akkor felvázolt eredményekre (</w:t>
      </w:r>
      <w:r w:rsidR="00D96225">
        <w:t>vö. „</w:t>
      </w:r>
      <w:r>
        <w:t>Egy kereslet-előrejelző modell kritikája és fejlesztési lehetőségei</w:t>
      </w:r>
      <w:r w:rsidR="00D96225">
        <w:t>” című cikkre</w:t>
      </w:r>
      <w:r w:rsidR="006E41B0">
        <w:t>) alapozva, olyan új modell született</w:t>
      </w:r>
      <w:r>
        <w:t xml:space="preserve">, amely az emberi gondolkodásnak a hasonlóságkeresési, </w:t>
      </w:r>
      <w:proofErr w:type="spellStart"/>
      <w:r w:rsidR="00B727AA">
        <w:t>-</w:t>
      </w:r>
      <w:r>
        <w:t>felismerési</w:t>
      </w:r>
      <w:proofErr w:type="spellEnd"/>
      <w:r>
        <w:t xml:space="preserve"> és, így a már megtörtént események azonos, vagy közel azonos újbóli megismétlődéséne</w:t>
      </w:r>
      <w:r w:rsidR="006E41B0">
        <w:t>k előrejelzését teszi lehetővé.</w:t>
      </w:r>
    </w:p>
    <w:p w:rsidR="00892C4A" w:rsidRDefault="00021220" w:rsidP="00892C4A">
      <w:pPr>
        <w:autoSpaceDE w:val="0"/>
        <w:autoSpaceDN w:val="0"/>
        <w:adjustRightInd w:val="0"/>
        <w:jc w:val="both"/>
      </w:pPr>
      <w:r>
        <w:t xml:space="preserve">A </w:t>
      </w:r>
      <w:r w:rsidR="003D7FE6">
        <w:t xml:space="preserve">v1.0 </w:t>
      </w:r>
      <w:r>
        <w:t>modell az idősorok időpontjaihoz tartozó</w:t>
      </w:r>
      <w:r w:rsidR="003D7FE6">
        <w:t xml:space="preserve"> </w:t>
      </w:r>
      <w:proofErr w:type="spellStart"/>
      <w:r w:rsidR="003D7FE6">
        <w:t>t</w:t>
      </w:r>
      <w:r w:rsidR="003D7FE6" w:rsidRPr="00F545E4">
        <w:rPr>
          <w:kern w:val="24"/>
          <w:vertAlign w:val="subscript"/>
        </w:rPr>
        <w:t>2</w:t>
      </w:r>
      <w:proofErr w:type="spellEnd"/>
      <w:r w:rsidR="003D7FE6">
        <w:t>/</w:t>
      </w:r>
      <w:proofErr w:type="spellStart"/>
      <w:r w:rsidR="003D7FE6">
        <w:t>t</w:t>
      </w:r>
      <w:r w:rsidR="003D7FE6" w:rsidRPr="00F545E4">
        <w:rPr>
          <w:kern w:val="24"/>
          <w:vertAlign w:val="subscript"/>
        </w:rPr>
        <w:t>1</w:t>
      </w:r>
      <w:proofErr w:type="spellEnd"/>
      <w:r w:rsidR="003D7FE6">
        <w:t xml:space="preserve">, </w:t>
      </w:r>
      <w:proofErr w:type="spellStart"/>
      <w:r w:rsidR="003D7FE6">
        <w:t>t</w:t>
      </w:r>
      <w:r w:rsidR="003D7FE6" w:rsidRPr="00F545E4">
        <w:rPr>
          <w:kern w:val="24"/>
          <w:vertAlign w:val="subscript"/>
        </w:rPr>
        <w:t>3</w:t>
      </w:r>
      <w:proofErr w:type="spellEnd"/>
      <w:r w:rsidR="003D7FE6">
        <w:t>/</w:t>
      </w:r>
      <w:proofErr w:type="spellStart"/>
      <w:r w:rsidR="003D7FE6">
        <w:t>t</w:t>
      </w:r>
      <w:r w:rsidR="003D7FE6" w:rsidRPr="00F545E4">
        <w:rPr>
          <w:kern w:val="24"/>
          <w:vertAlign w:val="subscript"/>
        </w:rPr>
        <w:t>2</w:t>
      </w:r>
      <w:proofErr w:type="spellEnd"/>
      <w:r w:rsidR="003D7FE6">
        <w:t xml:space="preserve">, </w:t>
      </w:r>
      <w:proofErr w:type="spellStart"/>
      <w:r w:rsidR="003D7FE6">
        <w:t>t</w:t>
      </w:r>
      <w:r w:rsidR="003D7FE6" w:rsidRPr="00F545E4">
        <w:rPr>
          <w:kern w:val="24"/>
          <w:vertAlign w:val="subscript"/>
        </w:rPr>
        <w:t>4</w:t>
      </w:r>
      <w:proofErr w:type="spellEnd"/>
      <w:r w:rsidR="003D7FE6">
        <w:t>/</w:t>
      </w:r>
      <w:proofErr w:type="spellStart"/>
      <w:r w:rsidR="003D7FE6">
        <w:t>t</w:t>
      </w:r>
      <w:r w:rsidR="003D7FE6" w:rsidRPr="00F545E4">
        <w:rPr>
          <w:kern w:val="24"/>
          <w:vertAlign w:val="subscript"/>
        </w:rPr>
        <w:t>3</w:t>
      </w:r>
      <w:proofErr w:type="spellEnd"/>
      <w:proofErr w:type="gramStart"/>
      <w:r w:rsidR="003D7FE6">
        <w:t>…</w:t>
      </w:r>
      <w:proofErr w:type="spellStart"/>
      <w:r w:rsidR="003D7FE6">
        <w:t>t</w:t>
      </w:r>
      <w:r w:rsidR="003D7FE6" w:rsidRPr="00F545E4">
        <w:rPr>
          <w:kern w:val="24"/>
          <w:vertAlign w:val="subscript"/>
        </w:rPr>
        <w:t>n</w:t>
      </w:r>
      <w:proofErr w:type="spellEnd"/>
      <w:proofErr w:type="gramEnd"/>
      <w:r w:rsidR="003D7FE6" w:rsidRPr="00F545E4">
        <w:rPr>
          <w:kern w:val="24"/>
          <w:vertAlign w:val="subscript"/>
        </w:rPr>
        <w:t>+1</w:t>
      </w:r>
      <w:r w:rsidR="003D7FE6">
        <w:t>/</w:t>
      </w:r>
      <w:proofErr w:type="spellStart"/>
      <w:r w:rsidR="003D7FE6">
        <w:t>t</w:t>
      </w:r>
      <w:r w:rsidR="003D7FE6" w:rsidRPr="00F545E4">
        <w:rPr>
          <w:kern w:val="24"/>
          <w:vertAlign w:val="subscript"/>
        </w:rPr>
        <w:t>n</w:t>
      </w:r>
      <w:proofErr w:type="spellEnd"/>
      <w:r w:rsidR="003D7FE6">
        <w:t xml:space="preserve"> </w:t>
      </w:r>
      <w:r>
        <w:t>hányadosok, vagy</w:t>
      </w:r>
      <w:r w:rsidR="006E41B0">
        <w:t>is az input időpontokhoz tartozó értékek közötti távolságok</w:t>
      </w:r>
      <w:r>
        <w:t xml:space="preserve"> mérésével indul, majd ezekből </w:t>
      </w:r>
      <w:r w:rsidR="00D96225">
        <w:t xml:space="preserve">a távolságokból </w:t>
      </w:r>
      <w:r w:rsidRPr="00B843E0">
        <w:t xml:space="preserve">kategóriákba tömörítve, különböző </w:t>
      </w:r>
      <w:r w:rsidR="00D96225">
        <w:t xml:space="preserve">hosszúságú </w:t>
      </w:r>
      <w:r w:rsidRPr="00B843E0">
        <w:t xml:space="preserve">kategória-mintázatok generálásával, és a rájuk </w:t>
      </w:r>
      <w:proofErr w:type="spellStart"/>
      <w:r w:rsidRPr="00B843E0">
        <w:t>FKERES</w:t>
      </w:r>
      <w:r w:rsidR="00B727AA">
        <w:t>-</w:t>
      </w:r>
      <w:r w:rsidRPr="00B843E0">
        <w:t>logika</w:t>
      </w:r>
      <w:proofErr w:type="spellEnd"/>
      <w:r w:rsidRPr="00B843E0">
        <w:t xml:space="preserve"> szerinti leginkább hasonlító sorozatot beazonosítva, a követő </w:t>
      </w:r>
      <w:r>
        <w:t>sorozat első eleme elfogadható</w:t>
      </w:r>
      <w:r w:rsidRPr="00B843E0">
        <w:t xml:space="preserve"> kellő pontosságú előrejelzésként. A kapott becslések a </w:t>
      </w:r>
      <w:r w:rsidR="00B65473">
        <w:t>numerikus</w:t>
      </w:r>
      <w:r w:rsidRPr="00B843E0">
        <w:t xml:space="preserve"> pontosság</w:t>
      </w:r>
      <w:r w:rsidR="00B65473">
        <w:rPr>
          <w:rStyle w:val="Lbjegyzet-hivatkozs"/>
        </w:rPr>
        <w:footnoteReference w:id="1"/>
      </w:r>
      <w:r w:rsidRPr="00B843E0">
        <w:t>, illetve az iránytartás</w:t>
      </w:r>
      <w:r w:rsidR="00B65473">
        <w:rPr>
          <w:rStyle w:val="Lbjegyzet-hivatkozs"/>
        </w:rPr>
        <w:footnoteReference w:id="2"/>
      </w:r>
      <w:r w:rsidRPr="00B843E0">
        <w:t xml:space="preserve"> szerint kerültek értékelésre.</w:t>
      </w:r>
    </w:p>
    <w:p w:rsidR="00892C4A" w:rsidRDefault="00892C4A" w:rsidP="00892C4A">
      <w:pPr>
        <w:autoSpaceDE w:val="0"/>
        <w:autoSpaceDN w:val="0"/>
        <w:adjustRightInd w:val="0"/>
        <w:jc w:val="both"/>
      </w:pPr>
      <w:r>
        <w:t>A</w:t>
      </w:r>
      <w:r w:rsidR="003F540A">
        <w:t>z ebben a tanulmányban</w:t>
      </w:r>
      <w:r>
        <w:t xml:space="preserve"> bemutatott eredmények </w:t>
      </w:r>
      <w:r w:rsidR="003F540A">
        <w:t xml:space="preserve">egyrészt </w:t>
      </w:r>
      <w:r>
        <w:t>a nyersolaj (</w:t>
      </w:r>
      <w:proofErr w:type="spellStart"/>
      <w:r>
        <w:t>Crude</w:t>
      </w:r>
      <w:proofErr w:type="spellEnd"/>
      <w:r>
        <w:t xml:space="preserve"> </w:t>
      </w:r>
      <w:proofErr w:type="spellStart"/>
      <w:r>
        <w:t>Futures</w:t>
      </w:r>
      <w:proofErr w:type="spellEnd"/>
      <w:r>
        <w:t>) heti bontású, nyitóértékeire vonatkoznak. 184 hét felhasználásával (</w:t>
      </w:r>
      <w:r w:rsidRPr="00DD69EC">
        <w:t>2010.06.25-2013.12.27</w:t>
      </w:r>
      <w:r>
        <w:t>), 7 kategóriát képezve, a következő 25 hét előrejelzésénél (</w:t>
      </w:r>
      <w:r w:rsidRPr="00DD69EC">
        <w:t>2014.01.03-2014.06.20</w:t>
      </w:r>
      <w:r>
        <w:t>) az iránytartás 72%-os</w:t>
      </w:r>
      <w:r w:rsidR="00770DFF">
        <w:t xml:space="preserve"> szintet ért el</w:t>
      </w:r>
      <w:r w:rsidR="00871344">
        <w:t>,</w:t>
      </w:r>
      <w:r w:rsidR="003F540A">
        <w:t xml:space="preserve"> a következő (ismeretlen) és az előző/utolsó ismert h</w:t>
      </w:r>
      <w:r w:rsidR="007F71D1">
        <w:t>e</w:t>
      </w:r>
      <w:r w:rsidR="003F540A">
        <w:t>t</w:t>
      </w:r>
      <w:r w:rsidR="00871344">
        <w:t>ek</w:t>
      </w:r>
      <w:r w:rsidR="003F540A">
        <w:t>re elvárható árfolyamváltozást illetően</w:t>
      </w:r>
      <w:r w:rsidR="00871344">
        <w:t xml:space="preserve">. </w:t>
      </w:r>
      <w:r>
        <w:t>A következő teszt</w:t>
      </w:r>
      <w:r w:rsidR="003F540A">
        <w:t>feladat</w:t>
      </w:r>
      <w:r>
        <w:t xml:space="preserve"> </w:t>
      </w:r>
      <w:r w:rsidR="003F540A">
        <w:t xml:space="preserve">az </w:t>
      </w:r>
      <w:r>
        <w:t xml:space="preserve">Apple részvények (AAPL) szintén heti nyitó értékeinek előrejelzése </w:t>
      </w:r>
      <w:r w:rsidR="003F540A">
        <w:t>volt</w:t>
      </w:r>
      <w:r>
        <w:t>. A bemeneti és kimeneti paraméterek nem változtak, vagyis 184 hét felhasználásával (</w:t>
      </w:r>
      <w:r w:rsidRPr="00DD69EC">
        <w:t>2010.06.25-2013.12.27</w:t>
      </w:r>
      <w:r>
        <w:t>), 7 kategóriát képezve, a következő 25 hét előrejelzése (</w:t>
      </w:r>
      <w:r w:rsidRPr="00DD69EC">
        <w:t>2014.01.03-2014.06.20</w:t>
      </w:r>
      <w:r>
        <w:t>) volt a cél. Az iránytartás 72%-os.</w:t>
      </w:r>
    </w:p>
    <w:p w:rsidR="00892C4A" w:rsidRDefault="00892C4A" w:rsidP="00892C4A">
      <w:pPr>
        <w:autoSpaceDE w:val="0"/>
        <w:autoSpaceDN w:val="0"/>
        <w:adjustRightInd w:val="0"/>
        <w:jc w:val="both"/>
      </w:pPr>
      <w:r>
        <w:t xml:space="preserve">A következő NASDAQ teszt alatt változott az idősor felbontása. Heti bontás helyett percekre lebontott idősor alapján került sor </w:t>
      </w:r>
      <w:r w:rsidR="003F540A">
        <w:t xml:space="preserve">a </w:t>
      </w:r>
      <w:r>
        <w:t>tesztelésre, továbbá az előrejelzendő időtáv 25 egységről 194 egységre változott (</w:t>
      </w:r>
      <w:r w:rsidR="0011509C">
        <w:t>önkényes</w:t>
      </w:r>
      <w:r>
        <w:t xml:space="preserve"> kiválasztás alapján). A modell továbbra is 7 kategóriával működött.</w:t>
      </w:r>
      <w:r w:rsidRPr="0060316E">
        <w:t xml:space="preserve"> </w:t>
      </w:r>
      <w:r>
        <w:t>Az iránytartás 73,2%-os</w:t>
      </w:r>
      <w:r w:rsidR="003F540A">
        <w:t xml:space="preserve"> a következő perc</w:t>
      </w:r>
      <w:r w:rsidR="0011509C">
        <w:t>ek</w:t>
      </w:r>
      <w:r w:rsidR="003F540A">
        <w:t>re vo</w:t>
      </w:r>
      <w:r w:rsidR="0011509C">
        <w:t>natkozó változások tekintetében.</w:t>
      </w:r>
    </w:p>
    <w:p w:rsidR="00892C4A" w:rsidRDefault="00892C4A" w:rsidP="00892C4A">
      <w:pPr>
        <w:autoSpaceDE w:val="0"/>
        <w:autoSpaceDN w:val="0"/>
        <w:adjustRightInd w:val="0"/>
        <w:jc w:val="both"/>
      </w:pPr>
      <w:r>
        <w:t>Egy termelő vállalat egy terméké</w:t>
      </w:r>
      <w:r w:rsidR="003F540A">
        <w:t>re v</w:t>
      </w:r>
      <w:r w:rsidR="007F71D1">
        <w:t>o</w:t>
      </w:r>
      <w:r w:rsidR="003F540A">
        <w:t>n</w:t>
      </w:r>
      <w:r w:rsidR="007F71D1">
        <w:t>a</w:t>
      </w:r>
      <w:r w:rsidR="003F540A">
        <w:t>tkozó</w:t>
      </w:r>
      <w:r>
        <w:t xml:space="preserve"> várható fogyásnak (értékesítési darabszám</w:t>
      </w:r>
      <w:r w:rsidR="003F540A">
        <w:t>nak</w:t>
      </w:r>
      <w:r>
        <w:t xml:space="preserve">) előrejelzése </w:t>
      </w:r>
      <w:r w:rsidR="003F540A">
        <w:t>kapcsán a</w:t>
      </w:r>
      <w:r>
        <w:t>z idősor egysége ismét heti bontású</w:t>
      </w:r>
      <w:r w:rsidR="003F540A">
        <w:t xml:space="preserve"> volt. A</w:t>
      </w:r>
      <w:r>
        <w:t>z előrejelzendő időtáv 50 hét</w:t>
      </w:r>
      <w:r w:rsidR="003F540A">
        <w:t>ben</w:t>
      </w:r>
      <w:r>
        <w:t xml:space="preserve"> (</w:t>
      </w:r>
      <w:r w:rsidRPr="009E7B97">
        <w:t>2010.01.04-2010.12.17</w:t>
      </w:r>
      <w:r>
        <w:t>), vagyis egy üzleti/üzemi év</w:t>
      </w:r>
      <w:r w:rsidR="003F540A">
        <w:t>ben lett meghatározva</w:t>
      </w:r>
      <w:r>
        <w:t>. A felhasznált bemeneti adatmennyiség 100 hét (</w:t>
      </w:r>
      <w:r w:rsidRPr="009E7B97">
        <w:t>2008.01.07-2009.12.19</w:t>
      </w:r>
      <w:r>
        <w:t>). Az iránytartás 74%-os</w:t>
      </w:r>
      <w:r w:rsidR="003F540A">
        <w:t xml:space="preserve"> a következő h</w:t>
      </w:r>
      <w:r w:rsidR="007F71D1">
        <w:t>e</w:t>
      </w:r>
      <w:r w:rsidR="003F540A">
        <w:t>t</w:t>
      </w:r>
      <w:r w:rsidR="008C3545">
        <w:t>ek</w:t>
      </w:r>
      <w:r w:rsidR="003F540A">
        <w:t>re vonatkozóan</w:t>
      </w:r>
      <w:r>
        <w:t>.</w:t>
      </w:r>
    </w:p>
    <w:p w:rsidR="00021220" w:rsidRPr="00C003F3" w:rsidRDefault="00021220" w:rsidP="00021220">
      <w:pPr>
        <w:jc w:val="both"/>
      </w:pPr>
      <w:r>
        <w:t>Az így létrejött új, hibridizált</w:t>
      </w:r>
      <w:r w:rsidR="00A75FBB">
        <w:rPr>
          <w:rStyle w:val="Lbjegyzet-hivatkozs"/>
        </w:rPr>
        <w:footnoteReference w:id="3"/>
      </w:r>
      <w:r>
        <w:t xml:space="preserve"> modell univerzalitása ez idáig más-más időszakokat és időtávokat felölelő tőzsdei és vállalati értékesítési adatokon volt tesztelve. Ezeken a teszteken az </w:t>
      </w:r>
      <w:r w:rsidR="00D96225">
        <w:t>v</w:t>
      </w:r>
      <w:r w:rsidR="00C003F3">
        <w:t>1.0-ás</w:t>
      </w:r>
      <w:r>
        <w:t xml:space="preserve"> modell kiegyensúlyozott</w:t>
      </w:r>
      <w:r w:rsidR="0011509C">
        <w:rPr>
          <w:rStyle w:val="Lbjegyzet-hivatkozs"/>
        </w:rPr>
        <w:footnoteReference w:id="4"/>
      </w:r>
      <w:r>
        <w:t xml:space="preserve"> eredményeket mutatott, amelyek </w:t>
      </w:r>
      <w:r w:rsidR="00A75FBB">
        <w:t>erősítik</w:t>
      </w:r>
      <w:r>
        <w:t xml:space="preserve"> a modell </w:t>
      </w:r>
      <w:r w:rsidR="00A75FBB">
        <w:t xml:space="preserve">vélelmezett </w:t>
      </w:r>
      <w:r>
        <w:t>stabilitását és következetességét.</w:t>
      </w:r>
    </w:p>
    <w:p w:rsidR="00342D0F" w:rsidRDefault="00342D0F" w:rsidP="00232A0F">
      <w:pPr>
        <w:tabs>
          <w:tab w:val="center" w:pos="5954"/>
        </w:tabs>
        <w:rPr>
          <w:i/>
        </w:rPr>
      </w:pPr>
    </w:p>
    <w:p w:rsidR="00232A0F" w:rsidRDefault="00232A0F" w:rsidP="00232A0F">
      <w:pPr>
        <w:tabs>
          <w:tab w:val="center" w:pos="5954"/>
        </w:tabs>
      </w:pPr>
      <w:r w:rsidRPr="00FE6965">
        <w:rPr>
          <w:i/>
        </w:rPr>
        <w:t>Kulcsszava</w:t>
      </w:r>
      <w:r>
        <w:rPr>
          <w:i/>
        </w:rPr>
        <w:t>k</w:t>
      </w:r>
      <w:r>
        <w:t xml:space="preserve">: </w:t>
      </w:r>
      <w:r w:rsidR="00021220">
        <w:t>előrejelzés,</w:t>
      </w:r>
      <w:r w:rsidR="00021220" w:rsidRPr="00F56624">
        <w:t xml:space="preserve"> </w:t>
      </w:r>
      <w:r w:rsidR="00021220">
        <w:t>Excel,</w:t>
      </w:r>
      <w:r w:rsidR="00021220" w:rsidRPr="00F56624">
        <w:t xml:space="preserve"> </w:t>
      </w:r>
      <w:r w:rsidR="00021220">
        <w:t>FKERES, iránytartás,</w:t>
      </w:r>
      <w:r w:rsidR="00021220" w:rsidRPr="00F56624">
        <w:t xml:space="preserve"> </w:t>
      </w:r>
      <w:r w:rsidR="00D96225">
        <w:t>hasonlóságkeresés</w:t>
      </w:r>
    </w:p>
    <w:p w:rsidR="00232A0F" w:rsidRDefault="00232A0F" w:rsidP="00232A0F">
      <w:pPr>
        <w:tabs>
          <w:tab w:val="center" w:pos="5954"/>
        </w:tabs>
      </w:pPr>
    </w:p>
    <w:p w:rsidR="00232A0F" w:rsidRDefault="00232A0F" w:rsidP="00445611">
      <w:pPr>
        <w:tabs>
          <w:tab w:val="center" w:pos="5954"/>
        </w:tabs>
        <w:rPr>
          <w:b/>
        </w:rPr>
      </w:pPr>
      <w:r>
        <w:rPr>
          <w:b/>
        </w:rPr>
        <w:t xml:space="preserve">1. </w:t>
      </w:r>
      <w:r w:rsidR="00DE13C5">
        <w:rPr>
          <w:b/>
        </w:rPr>
        <w:t>Bevezetés</w:t>
      </w:r>
    </w:p>
    <w:p w:rsidR="00232A0F" w:rsidRDefault="00232A0F" w:rsidP="00445611">
      <w:pPr>
        <w:autoSpaceDE w:val="0"/>
        <w:autoSpaceDN w:val="0"/>
        <w:adjustRightInd w:val="0"/>
        <w:jc w:val="both"/>
      </w:pPr>
    </w:p>
    <w:p w:rsidR="008B5B2F" w:rsidRPr="0033227D" w:rsidRDefault="003467D3" w:rsidP="00445611">
      <w:pPr>
        <w:autoSpaceDE w:val="0"/>
        <w:autoSpaceDN w:val="0"/>
        <w:adjustRightInd w:val="0"/>
        <w:jc w:val="both"/>
        <w:rPr>
          <w:rFonts w:eastAsiaTheme="majorEastAsia"/>
          <w:color w:val="0563C1" w:themeColor="hyperlink"/>
          <w:u w:val="single"/>
        </w:rPr>
      </w:pPr>
      <w:r>
        <w:t>A 2014-es debreceni Tavaszi Szél Konferencián</w:t>
      </w:r>
      <w:r w:rsidR="00B65473">
        <w:t xml:space="preserve"> (</w:t>
      </w:r>
      <w:r w:rsidR="0033227D">
        <w:t>Varga, 2014</w:t>
      </w:r>
      <w:r w:rsidR="00B65473" w:rsidRPr="00B65473">
        <w:t>)</w:t>
      </w:r>
      <w:r>
        <w:t xml:space="preserve"> összehasonlításra került a 2010-2011-es időszak alatt fejlesztett klasszikus matematikai módszerekkel leírható modell, illetve a hasonlóságelemző N dimenziós módszer (</w:t>
      </w:r>
      <w:proofErr w:type="spellStart"/>
      <w:r>
        <w:t>COCO</w:t>
      </w:r>
      <w:proofErr w:type="spellEnd"/>
      <w:r w:rsidR="00B5196D">
        <w:t xml:space="preserve"> -</w:t>
      </w:r>
      <w:r>
        <w:t xml:space="preserve"> </w:t>
      </w:r>
      <w:proofErr w:type="spellStart"/>
      <w:r w:rsidRPr="003467D3">
        <w:t>Component-based</w:t>
      </w:r>
      <w:proofErr w:type="spellEnd"/>
      <w:r w:rsidRPr="003467D3">
        <w:t xml:space="preserve"> </w:t>
      </w:r>
      <w:proofErr w:type="spellStart"/>
      <w:r w:rsidRPr="003467D3">
        <w:t>Object</w:t>
      </w:r>
      <w:proofErr w:type="spellEnd"/>
      <w:r w:rsidRPr="003467D3">
        <w:t xml:space="preserve"> </w:t>
      </w:r>
      <w:proofErr w:type="spellStart"/>
      <w:r w:rsidRPr="003467D3">
        <w:t>Comparison</w:t>
      </w:r>
      <w:proofErr w:type="spellEnd"/>
      <w:r w:rsidRPr="003467D3">
        <w:t xml:space="preserve"> </w:t>
      </w:r>
      <w:proofErr w:type="spellStart"/>
      <w:r w:rsidRPr="003467D3">
        <w:t>for</w:t>
      </w:r>
      <w:proofErr w:type="spellEnd"/>
      <w:r w:rsidRPr="003467D3">
        <w:t xml:space="preserve"> </w:t>
      </w:r>
      <w:proofErr w:type="spellStart"/>
      <w:r w:rsidRPr="003467D3">
        <w:t>Objectivity</w:t>
      </w:r>
      <w:proofErr w:type="spellEnd"/>
      <w:r>
        <w:t xml:space="preserve">). </w:t>
      </w:r>
      <w:r w:rsidR="00095A7A">
        <w:t>Jelen tanulmány szempontjából, k</w:t>
      </w:r>
      <w:r w:rsidR="00B5196D">
        <w:t>lasszikus matematikai modellnek tekinthetőek azok a modellek, amelyek minden művelete leírható az alapvető matematikai műveletekkel (szorzás, összeadás, osztás, kivonás). Az említett modellben alkalmazott módszerek</w:t>
      </w:r>
      <w:r w:rsidR="00214028">
        <w:t xml:space="preserve"> (egyszerű átlag, mozgóátlag, </w:t>
      </w:r>
      <w:proofErr w:type="gramStart"/>
      <w:r w:rsidR="00214028">
        <w:t>exponenciális simítás</w:t>
      </w:r>
      <w:proofErr w:type="gramEnd"/>
      <w:r w:rsidR="00214028">
        <w:t>, lineáris regresszió).</w:t>
      </w:r>
      <w:r w:rsidR="00D51249">
        <w:t xml:space="preserve"> Az összetevőkre és ezen összetevőknek a végső eredményhez történő hozzájárulása során kiderült, hogy a modell lineáris regressziós függvényéhez (ELŐREJELZÉS függvény) tartozó „X érték” paraméter – amely mindig előző időszaki tényadatra mutatott – járult hozzá legnagyobb mértékben (83,92%) az előrejelzési eredményekhez. Ehhez képest,</w:t>
      </w:r>
      <w:r w:rsidR="009C5E0C">
        <w:t xml:space="preserve"> a modell többi része (hozzájárulás: 16,08%) „túlbonyolítottnak” teki</w:t>
      </w:r>
      <w:r w:rsidR="00481F05">
        <w:t>nthető. Ha eltekintünk ezektől a részlépésektől, a modell „maradéka” tekinthető t=t-1, ahol t az idősor egységnyi időpontja.</w:t>
      </w:r>
    </w:p>
    <w:p w:rsidR="009C5E0C" w:rsidRDefault="009C5E0C" w:rsidP="008B5B2F">
      <w:pPr>
        <w:keepNext/>
        <w:autoSpaceDE w:val="0"/>
        <w:autoSpaceDN w:val="0"/>
        <w:adjustRightInd w:val="0"/>
        <w:jc w:val="both"/>
      </w:pPr>
    </w:p>
    <w:p w:rsidR="00214028" w:rsidRDefault="00214028" w:rsidP="008B5B2F">
      <w:pPr>
        <w:keepNext/>
        <w:autoSpaceDE w:val="0"/>
        <w:autoSpaceDN w:val="0"/>
        <w:adjustRightInd w:val="0"/>
        <w:jc w:val="both"/>
      </w:pPr>
      <w:r>
        <w:t>Az előző tanulmányban megfogalmazott</w:t>
      </w:r>
      <w:r w:rsidR="009C5E0C">
        <w:t xml:space="preserve"> – jelen tanulmányra </w:t>
      </w:r>
      <w:r w:rsidR="00342D0F">
        <w:t xml:space="preserve">is </w:t>
      </w:r>
      <w:r w:rsidR="009C5E0C">
        <w:t>releváns –</w:t>
      </w:r>
      <w:r>
        <w:t xml:space="preserve"> célok</w:t>
      </w:r>
      <w:r w:rsidR="009C5E0C">
        <w:t xml:space="preserve">, amelyeket az új modellnek tartalmaznia kell - </w:t>
      </w:r>
      <w:r>
        <w:t>a következők:</w:t>
      </w:r>
    </w:p>
    <w:p w:rsidR="009C5E0C" w:rsidRDefault="001E015B" w:rsidP="009C5E0C">
      <w:pPr>
        <w:pStyle w:val="Listaszerbekezds"/>
        <w:keepNext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az </w:t>
      </w:r>
      <w:r w:rsidR="009C5E0C">
        <w:t>iránytartás javítása,</w:t>
      </w:r>
    </w:p>
    <w:p w:rsidR="009C5E0C" w:rsidRDefault="001E015B" w:rsidP="009C5E0C">
      <w:pPr>
        <w:pStyle w:val="Listaszerbekezds"/>
        <w:keepNext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a </w:t>
      </w:r>
      <w:r w:rsidR="009C5E0C">
        <w:t>relatív magas numerikus pontosság tartása,</w:t>
      </w:r>
    </w:p>
    <w:p w:rsidR="009C5E0C" w:rsidRDefault="001E015B" w:rsidP="009C5E0C">
      <w:pPr>
        <w:pStyle w:val="Listaszerbekezds"/>
        <w:keepNext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az </w:t>
      </w:r>
      <w:r w:rsidR="009C5E0C">
        <w:t>univerzálisan</w:t>
      </w:r>
      <w:r w:rsidR="0033227D">
        <w:rPr>
          <w:rStyle w:val="Lbjegyzet-hivatkozs"/>
        </w:rPr>
        <w:footnoteReference w:id="5"/>
      </w:r>
      <w:r w:rsidR="009C5E0C">
        <w:t xml:space="preserve"> használható előrejelző modell</w:t>
      </w:r>
      <w:r w:rsidR="00342D0F">
        <w:t>-</w:t>
      </w:r>
      <w:r>
        <w:t>jelleg megőrzése</w:t>
      </w:r>
      <w:r w:rsidR="009C5E0C">
        <w:t>,</w:t>
      </w:r>
    </w:p>
    <w:p w:rsidR="009C5E0C" w:rsidRDefault="001E015B" w:rsidP="009C5E0C">
      <w:pPr>
        <w:pStyle w:val="Listaszerbekezds"/>
        <w:keepNext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az </w:t>
      </w:r>
      <w:r w:rsidR="009C5E0C">
        <w:t>öntanuló algoritmus</w:t>
      </w:r>
      <w:r w:rsidR="003A16E8">
        <w:rPr>
          <w:rStyle w:val="Lbjegyzet-hivatkozs"/>
        </w:rPr>
        <w:footnoteReference w:id="6"/>
      </w:r>
      <w:r>
        <w:t xml:space="preserve"> jelleg garantálása</w:t>
      </w:r>
      <w:r w:rsidR="009C5E0C">
        <w:t>.</w:t>
      </w:r>
    </w:p>
    <w:p w:rsidR="003A16E8" w:rsidRDefault="003A16E8" w:rsidP="008B5B2F">
      <w:pPr>
        <w:keepNext/>
        <w:autoSpaceDE w:val="0"/>
        <w:autoSpaceDN w:val="0"/>
        <w:adjustRightInd w:val="0"/>
        <w:jc w:val="both"/>
      </w:pPr>
    </w:p>
    <w:p w:rsidR="008B5B2F" w:rsidRDefault="009C5E0C" w:rsidP="008B5B2F">
      <w:pPr>
        <w:keepNext/>
        <w:autoSpaceDE w:val="0"/>
        <w:autoSpaceDN w:val="0"/>
        <w:adjustRightInd w:val="0"/>
        <w:jc w:val="both"/>
      </w:pPr>
      <w:r>
        <w:t xml:space="preserve">Annak érdekében, hogy a klasszikus modell univerzalitása lemérődjön, tőzsdei adatokon </w:t>
      </w:r>
      <w:r w:rsidR="00481F05">
        <w:t>került letesztelésre</w:t>
      </w:r>
      <w:r>
        <w:t xml:space="preserve">. </w:t>
      </w:r>
      <w:r w:rsidR="00481F05">
        <w:t>Ezt megelőzőleg csak vállalati értékesítési idősorokon volt tesztelve, sikerrel</w:t>
      </w:r>
      <w:r w:rsidR="004E246E">
        <w:rPr>
          <w:rStyle w:val="Lbjegyzet-hivatkozs"/>
        </w:rPr>
        <w:footnoteReference w:id="7"/>
      </w:r>
      <w:r w:rsidR="00570662">
        <w:t>. Az 1. táblázat nyersolaj kereskedési árelőrejelzésének eredményét tartalmazza iránytartás és korreláció szerint. A 2. táblázatban a numerikus pontossági eredmények láthatóak.</w:t>
      </w:r>
    </w:p>
    <w:p w:rsidR="00570662" w:rsidRDefault="00570662" w:rsidP="008B5B2F">
      <w:pPr>
        <w:keepNext/>
        <w:autoSpaceDE w:val="0"/>
        <w:autoSpaceDN w:val="0"/>
        <w:adjustRightInd w:val="0"/>
        <w:jc w:val="both"/>
      </w:pPr>
    </w:p>
    <w:p w:rsidR="002D27E9" w:rsidRPr="00EE324D" w:rsidRDefault="00D7622B" w:rsidP="007F71D1">
      <w:pPr>
        <w:pStyle w:val="Kpalrs"/>
        <w:keepNext/>
        <w:ind w:left="907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fldChar w:fldCharType="begin"/>
      </w:r>
      <w:r w:rsidRPr="00EE324D">
        <w:rPr>
          <w:b/>
          <w:i w:val="0"/>
          <w:color w:val="auto"/>
        </w:rPr>
        <w:instrText xml:space="preserve"> SEQ táblázat \* ARABIC </w:instrText>
      </w:r>
      <w:r w:rsidRPr="00EE324D">
        <w:rPr>
          <w:b/>
          <w:i w:val="0"/>
          <w:color w:val="auto"/>
        </w:rPr>
        <w:fldChar w:fldCharType="separate"/>
      </w:r>
      <w:r w:rsidRPr="00EE324D">
        <w:rPr>
          <w:b/>
          <w:i w:val="0"/>
          <w:noProof/>
          <w:color w:val="auto"/>
        </w:rPr>
        <w:t>1</w:t>
      </w:r>
      <w:r w:rsidRPr="00EE324D">
        <w:rPr>
          <w:b/>
          <w:i w:val="0"/>
          <w:color w:val="auto"/>
        </w:rPr>
        <w:fldChar w:fldCharType="end"/>
      </w:r>
      <w:r w:rsidR="002D27E9" w:rsidRPr="00EE324D">
        <w:rPr>
          <w:b/>
          <w:i w:val="0"/>
          <w:color w:val="auto"/>
        </w:rPr>
        <w:t>. táblázat Klasszikus előrejelző modell eredményei nyersolaj kereskedési árelőrejelzésére I.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1233"/>
        <w:gridCol w:w="1567"/>
        <w:gridCol w:w="1794"/>
        <w:gridCol w:w="1322"/>
      </w:tblGrid>
      <w:tr w:rsidR="002D27E9" w:rsidRPr="00144F7E" w:rsidTr="007F71D1">
        <w:trPr>
          <w:trHeight w:val="315"/>
          <w:jc w:val="center"/>
        </w:trPr>
        <w:tc>
          <w:tcPr>
            <w:tcW w:w="1314" w:type="dxa"/>
          </w:tcPr>
          <w:p w:rsidR="002D27E9" w:rsidRPr="002D27E9" w:rsidRDefault="002D27E9" w:rsidP="002D27E9">
            <w:pPr>
              <w:rPr>
                <w:color w:val="000000"/>
              </w:rPr>
            </w:pPr>
          </w:p>
        </w:tc>
        <w:tc>
          <w:tcPr>
            <w:tcW w:w="1233" w:type="dxa"/>
            <w:shd w:val="clear" w:color="auto" w:fill="auto"/>
            <w:noWrap/>
            <w:vAlign w:val="bottom"/>
          </w:tcPr>
          <w:p w:rsidR="002D27E9" w:rsidRPr="002D27E9" w:rsidRDefault="002D27E9" w:rsidP="002D27E9">
            <w:pPr>
              <w:jc w:val="center"/>
              <w:rPr>
                <w:b/>
                <w:color w:val="000000"/>
              </w:rPr>
            </w:pPr>
            <w:r w:rsidRPr="002D27E9">
              <w:rPr>
                <w:b/>
                <w:color w:val="000000"/>
              </w:rPr>
              <w:t>Nyitóérték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2D27E9" w:rsidRPr="002D27E9" w:rsidRDefault="002D27E9" w:rsidP="002D27E9">
            <w:pPr>
              <w:jc w:val="center"/>
              <w:rPr>
                <w:b/>
                <w:color w:val="000000"/>
              </w:rPr>
            </w:pPr>
            <w:r w:rsidRPr="002D27E9">
              <w:rPr>
                <w:b/>
                <w:color w:val="000000"/>
              </w:rPr>
              <w:t>Legmagasabb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2D27E9" w:rsidRPr="002D27E9" w:rsidRDefault="002D27E9" w:rsidP="002D27E9">
            <w:pPr>
              <w:jc w:val="center"/>
              <w:rPr>
                <w:b/>
                <w:color w:val="000000"/>
              </w:rPr>
            </w:pPr>
            <w:r w:rsidRPr="002D27E9">
              <w:rPr>
                <w:b/>
                <w:color w:val="000000"/>
              </w:rPr>
              <w:t>Legalacsonyabb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2D27E9" w:rsidRPr="002D27E9" w:rsidRDefault="007F71D1" w:rsidP="002D27E9">
            <w:pPr>
              <w:jc w:val="center"/>
              <w:rPr>
                <w:b/>
                <w:color w:val="000000"/>
              </w:rPr>
            </w:pPr>
            <w:r w:rsidRPr="002D27E9">
              <w:rPr>
                <w:b/>
                <w:color w:val="000000"/>
              </w:rPr>
              <w:t>Záró érték</w:t>
            </w:r>
          </w:p>
        </w:tc>
      </w:tr>
      <w:tr w:rsidR="00570662" w:rsidRPr="00144F7E" w:rsidTr="007F71D1">
        <w:trPr>
          <w:trHeight w:val="315"/>
          <w:jc w:val="center"/>
        </w:trPr>
        <w:tc>
          <w:tcPr>
            <w:tcW w:w="1314" w:type="dxa"/>
            <w:vAlign w:val="bottom"/>
          </w:tcPr>
          <w:p w:rsidR="00570662" w:rsidRPr="002D27E9" w:rsidRDefault="00570662" w:rsidP="0060316E">
            <w:pPr>
              <w:rPr>
                <w:b/>
                <w:color w:val="000000"/>
              </w:rPr>
            </w:pPr>
            <w:r w:rsidRPr="002D27E9">
              <w:rPr>
                <w:b/>
                <w:color w:val="000000"/>
              </w:rPr>
              <w:t>Iránytartás</w:t>
            </w:r>
          </w:p>
        </w:tc>
        <w:tc>
          <w:tcPr>
            <w:tcW w:w="1233" w:type="dxa"/>
            <w:shd w:val="clear" w:color="auto" w:fill="auto"/>
            <w:noWrap/>
            <w:vAlign w:val="bottom"/>
          </w:tcPr>
          <w:p w:rsidR="00570662" w:rsidRPr="002D27E9" w:rsidRDefault="00570662" w:rsidP="0060316E">
            <w:pPr>
              <w:jc w:val="right"/>
              <w:rPr>
                <w:color w:val="000000"/>
              </w:rPr>
            </w:pPr>
            <w:r w:rsidRPr="002D27E9">
              <w:rPr>
                <w:color w:val="000000"/>
              </w:rPr>
              <w:t>41,67%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570662" w:rsidRPr="002D27E9" w:rsidRDefault="00570662" w:rsidP="0060316E">
            <w:pPr>
              <w:jc w:val="right"/>
              <w:rPr>
                <w:color w:val="000000"/>
              </w:rPr>
            </w:pPr>
            <w:r w:rsidRPr="002D27E9">
              <w:rPr>
                <w:color w:val="000000"/>
              </w:rPr>
              <w:t>50,00%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570662" w:rsidRPr="002D27E9" w:rsidRDefault="00570662" w:rsidP="0060316E">
            <w:pPr>
              <w:jc w:val="right"/>
              <w:rPr>
                <w:color w:val="000000"/>
              </w:rPr>
            </w:pPr>
            <w:r w:rsidRPr="002D27E9">
              <w:rPr>
                <w:color w:val="000000"/>
              </w:rPr>
              <w:t>54,17%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570662" w:rsidRPr="002D27E9" w:rsidRDefault="00570662" w:rsidP="0060316E">
            <w:pPr>
              <w:jc w:val="right"/>
              <w:rPr>
                <w:color w:val="000000"/>
              </w:rPr>
            </w:pPr>
            <w:r w:rsidRPr="002D27E9">
              <w:rPr>
                <w:color w:val="000000"/>
              </w:rPr>
              <w:t>45,83%</w:t>
            </w:r>
          </w:p>
        </w:tc>
      </w:tr>
      <w:tr w:rsidR="00570662" w:rsidRPr="00144F7E" w:rsidTr="007F71D1">
        <w:trPr>
          <w:trHeight w:val="315"/>
          <w:jc w:val="center"/>
        </w:trPr>
        <w:tc>
          <w:tcPr>
            <w:tcW w:w="1314" w:type="dxa"/>
            <w:vAlign w:val="bottom"/>
          </w:tcPr>
          <w:p w:rsidR="00570662" w:rsidRPr="002D27E9" w:rsidRDefault="00570662" w:rsidP="0060316E">
            <w:pPr>
              <w:rPr>
                <w:b/>
                <w:color w:val="000000"/>
              </w:rPr>
            </w:pPr>
            <w:r w:rsidRPr="002D27E9">
              <w:rPr>
                <w:b/>
                <w:color w:val="000000"/>
              </w:rPr>
              <w:t>Korreláció</w:t>
            </w:r>
          </w:p>
        </w:tc>
        <w:tc>
          <w:tcPr>
            <w:tcW w:w="1233" w:type="dxa"/>
            <w:shd w:val="clear" w:color="auto" w:fill="auto"/>
            <w:noWrap/>
            <w:vAlign w:val="bottom"/>
          </w:tcPr>
          <w:p w:rsidR="00570662" w:rsidRPr="002D27E9" w:rsidRDefault="00570662" w:rsidP="0060316E">
            <w:pPr>
              <w:jc w:val="right"/>
              <w:rPr>
                <w:color w:val="000000"/>
              </w:rPr>
            </w:pPr>
            <w:r w:rsidRPr="002D27E9">
              <w:rPr>
                <w:color w:val="000000"/>
              </w:rPr>
              <w:t>0,83</w:t>
            </w: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570662" w:rsidRPr="002D27E9" w:rsidRDefault="00570662" w:rsidP="0060316E">
            <w:pPr>
              <w:jc w:val="right"/>
              <w:rPr>
                <w:color w:val="000000"/>
              </w:rPr>
            </w:pPr>
            <w:r w:rsidRPr="002D27E9">
              <w:rPr>
                <w:color w:val="000000"/>
              </w:rPr>
              <w:t>0,85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570662" w:rsidRPr="002D27E9" w:rsidRDefault="00570662" w:rsidP="0060316E">
            <w:pPr>
              <w:jc w:val="right"/>
              <w:rPr>
                <w:color w:val="000000"/>
              </w:rPr>
            </w:pPr>
            <w:r w:rsidRPr="002D27E9">
              <w:rPr>
                <w:color w:val="000000"/>
              </w:rPr>
              <w:t>0,90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570662" w:rsidRPr="002D27E9" w:rsidRDefault="00570662" w:rsidP="002D27E9">
            <w:pPr>
              <w:keepNext/>
              <w:jc w:val="right"/>
              <w:rPr>
                <w:color w:val="000000"/>
              </w:rPr>
            </w:pPr>
            <w:r w:rsidRPr="002D27E9">
              <w:rPr>
                <w:color w:val="000000"/>
              </w:rPr>
              <w:t>0,85</w:t>
            </w:r>
          </w:p>
        </w:tc>
      </w:tr>
    </w:tbl>
    <w:p w:rsidR="00570662" w:rsidRDefault="002D27E9" w:rsidP="007F71D1">
      <w:pPr>
        <w:pStyle w:val="Kpalrs"/>
        <w:ind w:left="907"/>
      </w:pPr>
      <w:r>
        <w:t>Forrás: saját munka</w:t>
      </w:r>
    </w:p>
    <w:p w:rsidR="00570662" w:rsidRDefault="00570662" w:rsidP="008B5B2F">
      <w:pPr>
        <w:keepNext/>
        <w:autoSpaceDE w:val="0"/>
        <w:autoSpaceDN w:val="0"/>
        <w:adjustRightInd w:val="0"/>
        <w:jc w:val="both"/>
      </w:pPr>
    </w:p>
    <w:p w:rsidR="006808EE" w:rsidRDefault="006808EE" w:rsidP="00B94558">
      <w:pPr>
        <w:keepNext/>
        <w:jc w:val="center"/>
      </w:pPr>
      <w:r>
        <w:rPr>
          <w:noProof/>
        </w:rPr>
        <w:drawing>
          <wp:inline distT="0" distB="0" distL="0" distR="0" wp14:anchorId="3CC40293" wp14:editId="46A3A249">
            <wp:extent cx="5629047" cy="3101645"/>
            <wp:effectExtent l="0" t="0" r="10160" b="381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08EE" w:rsidRPr="00C6652A" w:rsidRDefault="006808EE" w:rsidP="00C6652A">
      <w:pPr>
        <w:pStyle w:val="Kpalrs"/>
        <w:jc w:val="center"/>
        <w:rPr>
          <w:b/>
          <w:i w:val="0"/>
        </w:rPr>
      </w:pPr>
      <w:r w:rsidRPr="00C6652A">
        <w:rPr>
          <w:b/>
          <w:i w:val="0"/>
        </w:rPr>
        <w:fldChar w:fldCharType="begin"/>
      </w:r>
      <w:r w:rsidRPr="00C6652A">
        <w:rPr>
          <w:b/>
          <w:i w:val="0"/>
        </w:rPr>
        <w:instrText xml:space="preserve"> SEQ ábra \* ARABIC </w:instrText>
      </w:r>
      <w:r w:rsidRPr="00C6652A">
        <w:rPr>
          <w:b/>
          <w:i w:val="0"/>
        </w:rPr>
        <w:fldChar w:fldCharType="separate"/>
      </w:r>
      <w:r w:rsidR="00BC77C9">
        <w:rPr>
          <w:b/>
          <w:i w:val="0"/>
          <w:noProof/>
        </w:rPr>
        <w:t>1</w:t>
      </w:r>
      <w:r w:rsidRPr="00C6652A">
        <w:rPr>
          <w:b/>
          <w:i w:val="0"/>
        </w:rPr>
        <w:fldChar w:fldCharType="end"/>
      </w:r>
      <w:r w:rsidRPr="00C6652A">
        <w:rPr>
          <w:b/>
          <w:i w:val="0"/>
        </w:rPr>
        <w:t>. ábra Klasszikus előrejelző modell eredményei nyersolaj kereskedési árelőrejelzésére II.</w:t>
      </w:r>
    </w:p>
    <w:p w:rsidR="00570662" w:rsidRPr="00C6652A" w:rsidRDefault="002D27E9" w:rsidP="00C6652A">
      <w:pPr>
        <w:pStyle w:val="Kpalrs"/>
        <w:keepNext/>
        <w:ind w:left="1417"/>
        <w:jc w:val="center"/>
        <w:rPr>
          <w:b/>
          <w:i w:val="0"/>
        </w:rPr>
      </w:pPr>
      <w:r w:rsidRPr="00C6652A">
        <w:rPr>
          <w:b/>
          <w:i w:val="0"/>
        </w:rPr>
        <w:t>Forrás: saját munka</w:t>
      </w:r>
    </w:p>
    <w:p w:rsidR="00BC77C9" w:rsidRDefault="00BC77C9" w:rsidP="00B94558">
      <w:pPr>
        <w:keepNext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2A2A5ED3" wp14:editId="36847D26">
            <wp:extent cx="5598268" cy="2892269"/>
            <wp:effectExtent l="0" t="0" r="2540" b="381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77C9" w:rsidRDefault="00BC77C9" w:rsidP="00B94558">
      <w:pPr>
        <w:pStyle w:val="Kpalrs"/>
        <w:jc w:val="center"/>
        <w:rPr>
          <w:b/>
        </w:rPr>
      </w:pPr>
      <w:r w:rsidRPr="00B94558">
        <w:rPr>
          <w:b/>
          <w:i w:val="0"/>
        </w:rPr>
        <w:fldChar w:fldCharType="begin"/>
      </w:r>
      <w:r w:rsidRPr="00B94558">
        <w:rPr>
          <w:b/>
          <w:i w:val="0"/>
        </w:rPr>
        <w:instrText xml:space="preserve"> SEQ ábra \* ARABIC </w:instrText>
      </w:r>
      <w:r w:rsidRPr="00B94558">
        <w:rPr>
          <w:b/>
          <w:i w:val="0"/>
        </w:rPr>
        <w:fldChar w:fldCharType="separate"/>
      </w:r>
      <w:r w:rsidRPr="00B94558">
        <w:rPr>
          <w:b/>
          <w:i w:val="0"/>
          <w:noProof/>
        </w:rPr>
        <w:t>2</w:t>
      </w:r>
      <w:r w:rsidRPr="00B94558">
        <w:rPr>
          <w:b/>
          <w:i w:val="0"/>
        </w:rPr>
        <w:fldChar w:fldCharType="end"/>
      </w:r>
      <w:r w:rsidRPr="00B94558">
        <w:rPr>
          <w:b/>
          <w:i w:val="0"/>
        </w:rPr>
        <w:t>. ábra Trendvonal illesztés eredményei nyitó értékekre</w:t>
      </w:r>
    </w:p>
    <w:p w:rsidR="00BC77C9" w:rsidRPr="00C6652A" w:rsidRDefault="00BC77C9" w:rsidP="00BC77C9">
      <w:pPr>
        <w:pStyle w:val="Kpalrs"/>
        <w:keepNext/>
        <w:ind w:left="1417"/>
        <w:jc w:val="center"/>
        <w:rPr>
          <w:b/>
          <w:i w:val="0"/>
        </w:rPr>
      </w:pPr>
      <w:r w:rsidRPr="00C6652A">
        <w:rPr>
          <w:b/>
          <w:i w:val="0"/>
        </w:rPr>
        <w:t>Forrás: saját munka</w:t>
      </w:r>
    </w:p>
    <w:p w:rsidR="00BC77C9" w:rsidRPr="00BC77C9" w:rsidRDefault="00BC77C9" w:rsidP="00B94558"/>
    <w:p w:rsidR="00BC77C9" w:rsidRDefault="00BC77C9" w:rsidP="008B5B2F">
      <w:pPr>
        <w:keepNext/>
        <w:autoSpaceDE w:val="0"/>
        <w:autoSpaceDN w:val="0"/>
        <w:adjustRightInd w:val="0"/>
        <w:jc w:val="both"/>
      </w:pPr>
    </w:p>
    <w:p w:rsidR="00BC77C9" w:rsidRPr="00B94558" w:rsidRDefault="00BC77C9" w:rsidP="00B94558">
      <w:pPr>
        <w:keepNext/>
        <w:autoSpaceDE w:val="0"/>
        <w:autoSpaceDN w:val="0"/>
        <w:adjustRightInd w:val="0"/>
      </w:pPr>
      <w:r w:rsidRPr="00B94558">
        <w:t xml:space="preserve">6-od fokú </w:t>
      </w:r>
      <w:proofErr w:type="spellStart"/>
      <w:r w:rsidRPr="00B94558">
        <w:t>polinóm</w:t>
      </w:r>
      <w:proofErr w:type="spellEnd"/>
      <w:r w:rsidRPr="00B94558">
        <w:t xml:space="preserve"> illesztése</w:t>
      </w:r>
      <w:r w:rsidR="00F23801" w:rsidRPr="00B94558">
        <w:t>:</w:t>
      </w:r>
    </w:p>
    <w:p w:rsidR="00B94558" w:rsidRPr="00B94558" w:rsidRDefault="00B94558" w:rsidP="007F71D1">
      <w:pPr>
        <w:pStyle w:val="Listaszerbekezds"/>
        <w:keepNext/>
        <w:numPr>
          <w:ilvl w:val="0"/>
          <w:numId w:val="14"/>
        </w:numPr>
        <w:autoSpaceDE w:val="0"/>
        <w:autoSpaceDN w:val="0"/>
        <w:adjustRightInd w:val="0"/>
      </w:pPr>
      <w:r w:rsidRPr="00B94558">
        <w:t>egyenlete:</w:t>
      </w:r>
    </w:p>
    <w:p w:rsidR="00B94558" w:rsidRPr="00B94558" w:rsidRDefault="00BC77C9" w:rsidP="00B94558">
      <w:pPr>
        <w:keepNext/>
        <w:autoSpaceDE w:val="0"/>
        <w:autoSpaceDN w:val="0"/>
        <w:adjustRightInd w:val="0"/>
        <w:jc w:val="center"/>
      </w:pPr>
      <w:r w:rsidRPr="00B94558">
        <w:t>y = 2E-16x</w:t>
      </w:r>
      <w:r w:rsidRPr="00B94558">
        <w:rPr>
          <w:vertAlign w:val="superscript"/>
        </w:rPr>
        <w:t>6</w:t>
      </w:r>
      <w:r w:rsidRPr="00B94558">
        <w:t xml:space="preserve"> - 6E-11x</w:t>
      </w:r>
      <w:r w:rsidRPr="00B94558">
        <w:rPr>
          <w:vertAlign w:val="superscript"/>
        </w:rPr>
        <w:t>5</w:t>
      </w:r>
      <w:r w:rsidRPr="00B94558">
        <w:t xml:space="preserve"> + 6E-06x</w:t>
      </w:r>
      <w:r w:rsidRPr="00B94558">
        <w:rPr>
          <w:vertAlign w:val="superscript"/>
        </w:rPr>
        <w:t>4</w:t>
      </w:r>
      <w:r w:rsidRPr="00B94558">
        <w:t xml:space="preserve"> - 0,3216x</w:t>
      </w:r>
      <w:r w:rsidRPr="00B94558">
        <w:rPr>
          <w:vertAlign w:val="superscript"/>
        </w:rPr>
        <w:t>3</w:t>
      </w:r>
      <w:r w:rsidRPr="00B94558">
        <w:t xml:space="preserve"> + 9914,2x</w:t>
      </w:r>
      <w:r w:rsidRPr="00B94558">
        <w:rPr>
          <w:vertAlign w:val="superscript"/>
        </w:rPr>
        <w:t>2</w:t>
      </w:r>
      <w:r w:rsidRPr="00B94558">
        <w:t xml:space="preserve"> - 2E+08x + 1E+12</w:t>
      </w:r>
    </w:p>
    <w:p w:rsidR="00BC77C9" w:rsidRPr="00B94558" w:rsidRDefault="00F23801" w:rsidP="007F71D1">
      <w:pPr>
        <w:pStyle w:val="Listaszerbekezds"/>
        <w:keepNext/>
        <w:numPr>
          <w:ilvl w:val="0"/>
          <w:numId w:val="14"/>
        </w:numPr>
        <w:autoSpaceDE w:val="0"/>
        <w:autoSpaceDN w:val="0"/>
        <w:adjustRightInd w:val="0"/>
      </w:pPr>
      <w:r w:rsidRPr="00B94558">
        <w:t>illeszkedése</w:t>
      </w:r>
      <w:r w:rsidR="00B94558" w:rsidRPr="00B94558">
        <w:t>:</w:t>
      </w:r>
      <w:r w:rsidRPr="00B94558">
        <w:t xml:space="preserve"> </w:t>
      </w:r>
      <w:r w:rsidR="00BC77C9" w:rsidRPr="00B94558">
        <w:t>R² = 0,2435</w:t>
      </w:r>
    </w:p>
    <w:p w:rsidR="00BC77C9" w:rsidRPr="00B94558" w:rsidRDefault="00BC77C9" w:rsidP="00B94558">
      <w:pPr>
        <w:keepNext/>
        <w:autoSpaceDE w:val="0"/>
        <w:autoSpaceDN w:val="0"/>
        <w:adjustRightInd w:val="0"/>
      </w:pPr>
    </w:p>
    <w:p w:rsidR="00BC77C9" w:rsidRPr="00B94558" w:rsidRDefault="00B94558" w:rsidP="00B94558">
      <w:pPr>
        <w:keepNext/>
        <w:autoSpaceDE w:val="0"/>
        <w:autoSpaceDN w:val="0"/>
        <w:adjustRightInd w:val="0"/>
      </w:pPr>
      <w:r>
        <w:t>L</w:t>
      </w:r>
      <w:r w:rsidR="00F23801" w:rsidRPr="00B94558">
        <w:t>ineáris trend illesztése</w:t>
      </w:r>
      <w:r w:rsidR="00BC77C9" w:rsidRPr="00B94558">
        <w:t>:</w:t>
      </w:r>
    </w:p>
    <w:p w:rsidR="00B94558" w:rsidRPr="00B94558" w:rsidRDefault="00F23801" w:rsidP="007F71D1">
      <w:pPr>
        <w:pStyle w:val="Listaszerbekezds"/>
        <w:keepNext/>
        <w:numPr>
          <w:ilvl w:val="0"/>
          <w:numId w:val="13"/>
        </w:numPr>
        <w:autoSpaceDE w:val="0"/>
        <w:autoSpaceDN w:val="0"/>
        <w:adjustRightInd w:val="0"/>
      </w:pPr>
      <w:r w:rsidRPr="00B94558">
        <w:t>egyenlete:</w:t>
      </w:r>
    </w:p>
    <w:p w:rsidR="00B94558" w:rsidRPr="00B94558" w:rsidRDefault="00BC77C9" w:rsidP="00B94558">
      <w:pPr>
        <w:keepNext/>
        <w:autoSpaceDE w:val="0"/>
        <w:autoSpaceDN w:val="0"/>
        <w:adjustRightInd w:val="0"/>
        <w:jc w:val="center"/>
      </w:pPr>
      <w:r w:rsidRPr="00B94558">
        <w:t>y = -0,0017x + 165,41</w:t>
      </w:r>
    </w:p>
    <w:p w:rsidR="00BC77C9" w:rsidRPr="00B94558" w:rsidRDefault="00F23801" w:rsidP="007F71D1">
      <w:pPr>
        <w:pStyle w:val="Listaszerbekezds"/>
        <w:keepNext/>
        <w:numPr>
          <w:ilvl w:val="0"/>
          <w:numId w:val="13"/>
        </w:numPr>
        <w:autoSpaceDE w:val="0"/>
        <w:autoSpaceDN w:val="0"/>
        <w:adjustRightInd w:val="0"/>
      </w:pPr>
      <w:r w:rsidRPr="00B94558">
        <w:t>illeszkedése</w:t>
      </w:r>
      <w:r w:rsidR="00B94558" w:rsidRPr="00B94558">
        <w:t>:</w:t>
      </w:r>
      <w:r w:rsidRPr="00B94558">
        <w:t xml:space="preserve"> </w:t>
      </w:r>
      <w:r w:rsidR="00BC77C9" w:rsidRPr="00B94558">
        <w:t>R² = 0,0091</w:t>
      </w:r>
    </w:p>
    <w:p w:rsidR="00BC77C9" w:rsidRPr="00B94558" w:rsidRDefault="00BC77C9" w:rsidP="008B5B2F">
      <w:pPr>
        <w:keepNext/>
        <w:autoSpaceDE w:val="0"/>
        <w:autoSpaceDN w:val="0"/>
        <w:adjustRightInd w:val="0"/>
        <w:jc w:val="both"/>
      </w:pPr>
    </w:p>
    <w:p w:rsidR="009C5E0C" w:rsidRDefault="006C4C26" w:rsidP="008B5B2F">
      <w:pPr>
        <w:keepNext/>
        <w:autoSpaceDE w:val="0"/>
        <w:autoSpaceDN w:val="0"/>
        <w:adjustRightInd w:val="0"/>
        <w:jc w:val="both"/>
      </w:pPr>
      <w:r>
        <w:t>A</w:t>
      </w:r>
      <w:r w:rsidR="00770DFF">
        <w:t>z előző</w:t>
      </w:r>
      <w:r>
        <w:t xml:space="preserve"> </w:t>
      </w:r>
      <w:r w:rsidR="00EC1CC6">
        <w:t>táblázaton és az ábrá</w:t>
      </w:r>
      <w:r w:rsidR="00BC77C9">
        <w:t>kon</w:t>
      </w:r>
      <w:r>
        <w:t xml:space="preserve"> szerepeltetett eredményeken jól megfigyelhe</w:t>
      </w:r>
      <w:r w:rsidR="006808EE">
        <w:t xml:space="preserve">tő, hogy a legtöbb mutatóban </w:t>
      </w:r>
      <w:proofErr w:type="spellStart"/>
      <w:r w:rsidR="006808EE">
        <w:t>jó</w:t>
      </w:r>
      <w:r w:rsidR="00BC77C9">
        <w:t>bb</w:t>
      </w:r>
      <w:proofErr w:type="spellEnd"/>
      <w:r w:rsidR="006808EE">
        <w:t xml:space="preserve"> közelítéssel</w:t>
      </w:r>
      <w:r>
        <w:t xml:space="preserve"> teljesített a</w:t>
      </w:r>
      <w:r w:rsidR="00BC77C9">
        <w:t xml:space="preserve"> klasszikus</w:t>
      </w:r>
      <w:r>
        <w:t xml:space="preserve"> modell</w:t>
      </w:r>
      <w:r w:rsidR="00C72EBB">
        <w:t xml:space="preserve"> a</w:t>
      </w:r>
      <w:r w:rsidR="006808EE">
        <w:t xml:space="preserve"> 100%-hoz, a korrelációnál pedig az 1 értékhez</w:t>
      </w:r>
      <w:r w:rsidR="00BC77C9">
        <w:t xml:space="preserve"> képest</w:t>
      </w:r>
      <w:r w:rsidR="00B94558">
        <w:t>.</w:t>
      </w:r>
      <w:r>
        <w:t xml:space="preserve"> </w:t>
      </w:r>
      <w:r w:rsidR="006808EE">
        <w:t>Ellenben</w:t>
      </w:r>
      <w:r>
        <w:t xml:space="preserve"> az iránytartás tekintetében lényegében nem teljesítette azt az alapvető elvárást, miszerint adott tőzsdei árfolyam mozgását (csökkenés, növekedés, vagy stagnálás)</w:t>
      </w:r>
      <w:r w:rsidR="00C6652A">
        <w:t xml:space="preserve"> minimálisan 50% feletti szinten</w:t>
      </w:r>
      <w:r>
        <w:t xml:space="preserve"> előre</w:t>
      </w:r>
      <w:r w:rsidR="00C6652A">
        <w:t xml:space="preserve"> </w:t>
      </w:r>
      <w:r>
        <w:t>jelezni szükséges</w:t>
      </w:r>
      <w:r w:rsidR="00B94558">
        <w:t xml:space="preserve">. </w:t>
      </w:r>
      <w:r w:rsidR="00055295">
        <w:t>Bármely előrejelzés</w:t>
      </w:r>
      <w:r>
        <w:t xml:space="preserve"> 50% körüli érték</w:t>
      </w:r>
      <w:r w:rsidR="00055295">
        <w:t>e</w:t>
      </w:r>
      <w:r>
        <w:t xml:space="preserve"> tolmácsolható a felhasználó felé, mint egy „nem tudom” válasz a modell részéről. A nyersolajon kívül, Apple, E-mini S&amp;P tőzsdei adatokon </w:t>
      </w:r>
      <w:r w:rsidR="00055295">
        <w:t>történt</w:t>
      </w:r>
      <w:r>
        <w:t xml:space="preserve"> tesztelés, az előbbihez </w:t>
      </w:r>
      <w:r w:rsidR="00055295">
        <w:t>arányaiban közelítő</w:t>
      </w:r>
      <w:r>
        <w:t xml:space="preserve"> kimenetellel.</w:t>
      </w:r>
      <w:r w:rsidR="006F228D">
        <w:t xml:space="preserve"> Ezért vált szükségessé, a 2014-es tanulmányban is vélelmezett, hasonlóság alapú előrejelző modell megalkotása.</w:t>
      </w:r>
    </w:p>
    <w:p w:rsidR="002D27E9" w:rsidRDefault="002D27E9" w:rsidP="008B5B2F">
      <w:pPr>
        <w:keepNext/>
        <w:autoSpaceDE w:val="0"/>
        <w:autoSpaceDN w:val="0"/>
        <w:adjustRightInd w:val="0"/>
        <w:jc w:val="both"/>
      </w:pPr>
    </w:p>
    <w:p w:rsidR="008B5B2F" w:rsidRPr="008B5B2F" w:rsidRDefault="008B5B2F" w:rsidP="00232A0F">
      <w:pPr>
        <w:autoSpaceDE w:val="0"/>
        <w:autoSpaceDN w:val="0"/>
        <w:adjustRightInd w:val="0"/>
        <w:jc w:val="both"/>
        <w:rPr>
          <w:b/>
        </w:rPr>
      </w:pPr>
      <w:r w:rsidRPr="008B5B2F">
        <w:rPr>
          <w:b/>
        </w:rPr>
        <w:t>2. Alkalmazott módszerek</w:t>
      </w:r>
    </w:p>
    <w:p w:rsidR="008B5B2F" w:rsidRDefault="008B5B2F" w:rsidP="00232A0F">
      <w:pPr>
        <w:autoSpaceDE w:val="0"/>
        <w:autoSpaceDN w:val="0"/>
        <w:adjustRightInd w:val="0"/>
        <w:jc w:val="both"/>
      </w:pPr>
    </w:p>
    <w:p w:rsidR="009725D8" w:rsidRDefault="00AD6811" w:rsidP="00232A0F">
      <w:pPr>
        <w:autoSpaceDE w:val="0"/>
        <w:autoSpaceDN w:val="0"/>
        <w:adjustRightInd w:val="0"/>
        <w:jc w:val="both"/>
      </w:pPr>
      <w:r>
        <w:t>Az előzőekben felvázolt eredmények vezettek a hasonlóságkereső modell megszületéséhez</w:t>
      </w:r>
      <w:r w:rsidR="00C04A19">
        <w:t xml:space="preserve">. </w:t>
      </w:r>
      <w:r w:rsidR="00F545E4">
        <w:t xml:space="preserve">A klasszikusnak tekinthető modellhez képest itt már nem minden művelet írható le a korábbi matematikai műveletekkel. </w:t>
      </w:r>
      <w:r w:rsidR="00C04A19">
        <w:t>Ahhoz hogy a modell belső logikája könnyebben megérthe</w:t>
      </w:r>
      <w:r w:rsidR="000E4EC6">
        <w:t>tő legyen, először a hasonlóság</w:t>
      </w:r>
      <w:r w:rsidR="000E4EC6" w:rsidRPr="000E4EC6">
        <w:t xml:space="preserve"> </w:t>
      </w:r>
      <w:r w:rsidR="000E4EC6">
        <w:t xml:space="preserve">fogalmát, és a hasonlók közötti különbséget </w:t>
      </w:r>
      <w:r w:rsidR="00C04A19">
        <w:t xml:space="preserve">szükséges definiálni. </w:t>
      </w:r>
      <w:r w:rsidR="005206DD">
        <w:t>A hason</w:t>
      </w:r>
      <w:r w:rsidR="009725D8">
        <w:t>lóság, saját definíció szerint:</w:t>
      </w:r>
    </w:p>
    <w:p w:rsidR="008B5B2F" w:rsidRDefault="009725D8" w:rsidP="00232A0F">
      <w:pPr>
        <w:autoSpaceDE w:val="0"/>
        <w:autoSpaceDN w:val="0"/>
        <w:adjustRightInd w:val="0"/>
        <w:jc w:val="both"/>
      </w:pPr>
      <w:r>
        <w:t>E</w:t>
      </w:r>
      <w:r w:rsidR="005206DD">
        <w:t>gy sokaság elemei közül azok tekinthetőek leghasonlóbbnak, amelyek tulajdonságai közötti különbség minimális a sokaság többi eleméhez képest. A sokaság elemei közötti különbség bármely számszerűsíthető módon leírható, és ezek között objektív</w:t>
      </w:r>
      <w:r w:rsidR="001463EF">
        <w:t xml:space="preserve"> rangsor állítható fel.</w:t>
      </w:r>
    </w:p>
    <w:p w:rsidR="006C0977" w:rsidRDefault="006C0977" w:rsidP="00232A0F">
      <w:pPr>
        <w:autoSpaceDE w:val="0"/>
        <w:autoSpaceDN w:val="0"/>
        <w:adjustRightInd w:val="0"/>
        <w:jc w:val="both"/>
      </w:pPr>
    </w:p>
    <w:p w:rsidR="001463EF" w:rsidRPr="001463EF" w:rsidRDefault="001463EF" w:rsidP="00232A0F">
      <w:pPr>
        <w:autoSpaceDE w:val="0"/>
        <w:autoSpaceDN w:val="0"/>
        <w:adjustRightInd w:val="0"/>
        <w:jc w:val="both"/>
        <w:rPr>
          <w:i/>
        </w:rPr>
      </w:pPr>
      <w:r w:rsidRPr="001463EF">
        <w:rPr>
          <w:i/>
        </w:rPr>
        <w:t>2.1 Hasonlóságkereső</w:t>
      </w:r>
      <w:r w:rsidR="00D32528">
        <w:rPr>
          <w:i/>
        </w:rPr>
        <w:t xml:space="preserve"> modell</w:t>
      </w:r>
      <w:r w:rsidRPr="001463EF">
        <w:rPr>
          <w:i/>
        </w:rPr>
        <w:t xml:space="preserve"> v1.0</w:t>
      </w:r>
    </w:p>
    <w:p w:rsidR="001463EF" w:rsidRDefault="001463EF" w:rsidP="00232A0F">
      <w:pPr>
        <w:autoSpaceDE w:val="0"/>
        <w:autoSpaceDN w:val="0"/>
        <w:adjustRightInd w:val="0"/>
        <w:jc w:val="both"/>
      </w:pPr>
    </w:p>
    <w:p w:rsidR="008B5B2F" w:rsidRDefault="009725D8" w:rsidP="00232A0F">
      <w:pPr>
        <w:autoSpaceDE w:val="0"/>
        <w:autoSpaceDN w:val="0"/>
        <w:adjustRightInd w:val="0"/>
        <w:jc w:val="both"/>
      </w:pPr>
      <w:r>
        <w:t xml:space="preserve">A modell első verziójának első lépése a </w:t>
      </w:r>
      <w:proofErr w:type="spellStart"/>
      <w:r w:rsidRPr="009725D8">
        <w:t>hányadosképzés</w:t>
      </w:r>
      <w:proofErr w:type="spellEnd"/>
      <w:r w:rsidR="000F10FE">
        <w:t>, amely lényegében az idősor időpo</w:t>
      </w:r>
      <w:r w:rsidR="00801003">
        <w:t>ntjai közötti változások mértékét</w:t>
      </w:r>
      <w:r w:rsidR="000F10FE">
        <w:t xml:space="preserve"> </w:t>
      </w:r>
      <w:r w:rsidR="00801003">
        <w:t>mutatja</w:t>
      </w:r>
      <w:r w:rsidR="000F10FE">
        <w:t xml:space="preserve"> meg</w:t>
      </w:r>
      <w:r w:rsidR="00F545E4">
        <w:t>:</w:t>
      </w:r>
    </w:p>
    <w:p w:rsidR="00F545E4" w:rsidRDefault="00F545E4" w:rsidP="00232A0F">
      <w:pPr>
        <w:autoSpaceDE w:val="0"/>
        <w:autoSpaceDN w:val="0"/>
        <w:adjustRightInd w:val="0"/>
        <w:jc w:val="both"/>
      </w:pPr>
    </w:p>
    <w:p w:rsidR="00F545E4" w:rsidRDefault="00F545E4" w:rsidP="00F545E4">
      <w:pPr>
        <w:tabs>
          <w:tab w:val="center" w:pos="4536"/>
          <w:tab w:val="left" w:pos="7080"/>
        </w:tabs>
        <w:autoSpaceDE w:val="0"/>
        <w:autoSpaceDN w:val="0"/>
        <w:adjustRightInd w:val="0"/>
        <w:rPr>
          <w:kern w:val="24"/>
        </w:rPr>
      </w:pPr>
      <w:r>
        <w:tab/>
      </w:r>
      <w:proofErr w:type="spellStart"/>
      <w:r>
        <w:t>t</w:t>
      </w:r>
      <w:r w:rsidRPr="00F545E4">
        <w:rPr>
          <w:kern w:val="24"/>
          <w:vertAlign w:val="subscript"/>
        </w:rPr>
        <w:t>2</w:t>
      </w:r>
      <w:proofErr w:type="spellEnd"/>
      <w:r>
        <w:t>/</w:t>
      </w:r>
      <w:proofErr w:type="spellStart"/>
      <w:r>
        <w:t>t</w:t>
      </w:r>
      <w:r w:rsidRPr="00F545E4">
        <w:rPr>
          <w:kern w:val="24"/>
          <w:vertAlign w:val="subscript"/>
        </w:rPr>
        <w:t>1</w:t>
      </w:r>
      <w:proofErr w:type="spellEnd"/>
      <w:r>
        <w:t xml:space="preserve">, </w:t>
      </w:r>
      <w:proofErr w:type="spellStart"/>
      <w:r>
        <w:t>t</w:t>
      </w:r>
      <w:r w:rsidRPr="00F545E4">
        <w:rPr>
          <w:kern w:val="24"/>
          <w:vertAlign w:val="subscript"/>
        </w:rPr>
        <w:t>3</w:t>
      </w:r>
      <w:proofErr w:type="spellEnd"/>
      <w:r>
        <w:t>/</w:t>
      </w:r>
      <w:proofErr w:type="spellStart"/>
      <w:r>
        <w:t>t</w:t>
      </w:r>
      <w:r w:rsidRPr="00F545E4">
        <w:rPr>
          <w:kern w:val="24"/>
          <w:vertAlign w:val="subscript"/>
        </w:rPr>
        <w:t>2</w:t>
      </w:r>
      <w:proofErr w:type="spellEnd"/>
      <w:r>
        <w:t xml:space="preserve">, </w:t>
      </w:r>
      <w:proofErr w:type="spellStart"/>
      <w:r>
        <w:t>t</w:t>
      </w:r>
      <w:r w:rsidRPr="00F545E4">
        <w:rPr>
          <w:kern w:val="24"/>
          <w:vertAlign w:val="subscript"/>
        </w:rPr>
        <w:t>4</w:t>
      </w:r>
      <w:proofErr w:type="spellEnd"/>
      <w:r>
        <w:t>/</w:t>
      </w:r>
      <w:proofErr w:type="spellStart"/>
      <w:r>
        <w:t>t</w:t>
      </w:r>
      <w:r w:rsidRPr="00F545E4">
        <w:rPr>
          <w:kern w:val="24"/>
          <w:vertAlign w:val="subscript"/>
        </w:rPr>
        <w:t>3</w:t>
      </w:r>
      <w:proofErr w:type="spellEnd"/>
      <w:proofErr w:type="gramStart"/>
      <w:r>
        <w:t>…</w:t>
      </w:r>
      <w:proofErr w:type="spellStart"/>
      <w:r>
        <w:t>t</w:t>
      </w:r>
      <w:r w:rsidRPr="00F545E4">
        <w:rPr>
          <w:kern w:val="24"/>
          <w:vertAlign w:val="subscript"/>
        </w:rPr>
        <w:t>n</w:t>
      </w:r>
      <w:proofErr w:type="spellEnd"/>
      <w:proofErr w:type="gramEnd"/>
      <w:r w:rsidRPr="00F545E4">
        <w:rPr>
          <w:kern w:val="24"/>
          <w:vertAlign w:val="subscript"/>
        </w:rPr>
        <w:t>+1</w:t>
      </w:r>
      <w:r>
        <w:t>/</w:t>
      </w:r>
      <w:proofErr w:type="spellStart"/>
      <w:r>
        <w:t>t</w:t>
      </w:r>
      <w:r w:rsidRPr="00F545E4">
        <w:rPr>
          <w:kern w:val="24"/>
          <w:vertAlign w:val="subscript"/>
        </w:rPr>
        <w:t>n</w:t>
      </w:r>
      <w:proofErr w:type="spellEnd"/>
    </w:p>
    <w:p w:rsidR="00F545E4" w:rsidRDefault="00F545E4" w:rsidP="00F545E4">
      <w:pPr>
        <w:tabs>
          <w:tab w:val="center" w:pos="4536"/>
          <w:tab w:val="left" w:pos="7080"/>
        </w:tabs>
        <w:autoSpaceDE w:val="0"/>
        <w:autoSpaceDN w:val="0"/>
        <w:adjustRightInd w:val="0"/>
        <w:rPr>
          <w:kern w:val="24"/>
        </w:rPr>
      </w:pPr>
    </w:p>
    <w:p w:rsidR="00F545E4" w:rsidRDefault="00F545E4" w:rsidP="000F10FE">
      <w:pPr>
        <w:tabs>
          <w:tab w:val="center" w:pos="4536"/>
          <w:tab w:val="left" w:pos="7080"/>
        </w:tabs>
        <w:autoSpaceDE w:val="0"/>
        <w:autoSpaceDN w:val="0"/>
        <w:adjustRightInd w:val="0"/>
        <w:jc w:val="both"/>
      </w:pPr>
      <w:r>
        <w:t>A következő lépés képzett hányadosok maximum és minimum értékei közötti terjedelem</w:t>
      </w:r>
      <w:r w:rsidR="000F10FE">
        <w:t xml:space="preserve"> felosztása egyenlő részekre, kategóriák kialakítása céljából. A jelenlegi verziókban hét kategória van használatban, azonban ez a szám, és a képzés módja is változtatható. A harmadik lépés, hogy a kapott kategóriákat időrendben mintázatokba soroljuk. A modell lényege, hogy az utolsó ismert mintázatra</w:t>
      </w:r>
      <w:r w:rsidR="00607C69">
        <w:t xml:space="preserve"> (n)</w:t>
      </w:r>
      <w:r w:rsidR="000F10FE">
        <w:t xml:space="preserve"> </w:t>
      </w:r>
      <w:r w:rsidR="00CE4982">
        <w:t xml:space="preserve">FKERES függvény </w:t>
      </w:r>
      <w:r w:rsidR="000F10FE">
        <w:t>keresi a leghasonlóbbat a múltban</w:t>
      </w:r>
      <w:r w:rsidR="00607C69">
        <w:t xml:space="preserve"> (j)</w:t>
      </w:r>
      <w:r w:rsidR="000F10FE">
        <w:t>. Ezt a múltbéli mintázatot megfeleltethetjük a jelenleginek, amire következőt, vagyis előrejelzést készítünk. A múltbéli mintázatnál ez az „előrejelzés” már tényként létezik</w:t>
      </w:r>
      <w:r w:rsidR="00607C69">
        <w:t xml:space="preserve"> (j+1)</w:t>
      </w:r>
      <w:r w:rsidR="000F10FE">
        <w:t>, ezért a múltbéli mintázatot követő mintázat első eleme elfogadható előre</w:t>
      </w:r>
      <w:r w:rsidR="007F71D1">
        <w:t xml:space="preserve"> </w:t>
      </w:r>
      <w:r w:rsidR="000F10FE">
        <w:t>jelzett kategóriának, amely kategória tartalmazza a vál</w:t>
      </w:r>
      <w:r w:rsidR="00607C69">
        <w:t>t</w:t>
      </w:r>
      <w:r w:rsidR="000F10FE">
        <w:t>o</w:t>
      </w:r>
      <w:r w:rsidR="00607C69">
        <w:t>z</w:t>
      </w:r>
      <w:r w:rsidR="000F10FE">
        <w:t>ás mértékét</w:t>
      </w:r>
      <w:r w:rsidR="00607C69">
        <w:t xml:space="preserve">. Az ezt megelőző tényadat segítségével megadható egy várható maximum és minimum érték. Több időegység előrejelzésénél, a j+1 mintára készül hasonlóságkeresés a múltbéliek közül, majd a </w:t>
      </w:r>
      <w:r w:rsidR="00607C69">
        <w:lastRenderedPageBreak/>
        <w:t>korábbiakban felvázolt módon, az ezt követő mintázat első eleme lesz az előrejelzés. Ezt tetszőlegesen lehet ismételni.</w:t>
      </w:r>
      <w:r w:rsidR="00801003">
        <w:t xml:space="preserve"> A felvázolt működési elvet szemlélteti az 1. ábra:</w:t>
      </w:r>
    </w:p>
    <w:p w:rsidR="00A80FAC" w:rsidRDefault="00A80FAC" w:rsidP="000F10FE">
      <w:pPr>
        <w:tabs>
          <w:tab w:val="center" w:pos="4536"/>
          <w:tab w:val="left" w:pos="7080"/>
        </w:tabs>
        <w:autoSpaceDE w:val="0"/>
        <w:autoSpaceDN w:val="0"/>
        <w:adjustRightInd w:val="0"/>
        <w:jc w:val="both"/>
      </w:pPr>
    </w:p>
    <w:p w:rsidR="00902B57" w:rsidRDefault="00A80FAC" w:rsidP="00902B57">
      <w:pPr>
        <w:keepNext/>
        <w:jc w:val="center"/>
      </w:pPr>
      <w:r w:rsidRPr="00A0576C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69196BD8" wp14:editId="0F4B276C">
                <wp:extent cx="5137785" cy="3448051"/>
                <wp:effectExtent l="0" t="0" r="0" b="0"/>
                <wp:docPr id="93" name="Vászon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9992" y="259273"/>
                            <a:ext cx="1644548" cy="23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Pr="00902B57" w:rsidRDefault="0033227D" w:rsidP="00A80F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r w:rsidRPr="00902B57">
                                <w:rPr>
                                  <w:color w:val="000000"/>
                                </w:rPr>
                                <w:t>0. Idősor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feltöltése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spAutoFit/>
                        </wps:bodyPr>
                      </wps:wsp>
                      <wps:wsp>
                        <wps:cNvPr id="7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4767" y="960313"/>
                            <a:ext cx="1721383" cy="4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Pr="00F82D1D" w:rsidRDefault="0033227D" w:rsidP="00F82D1D">
                              <w:pPr>
                                <w:autoSpaceDE w:val="0"/>
                                <w:autoSpaceDN w:val="0"/>
                                <w:adjustRightInd w:val="0"/>
                                <w:ind w:left="360"/>
                                <w:rPr>
                                  <w:color w:val="000000"/>
                                </w:rPr>
                              </w:pPr>
                              <w:r w:rsidRPr="00F82D1D">
                                <w:rPr>
                                  <w:color w:val="000000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F82D1D">
                                <w:rPr>
                                  <w:color w:val="000000"/>
                                </w:rPr>
                                <w:t>Hányadosképzés</w:t>
                              </w:r>
                              <w:proofErr w:type="spellEnd"/>
                            </w:p>
                            <w:p w:rsidR="0033227D" w:rsidRPr="00902B57" w:rsidRDefault="0033227D" w:rsidP="00A80F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2</w:t>
                              </w:r>
                              <w:proofErr w:type="spellEnd"/>
                              <w:r w:rsidRPr="00902B57">
                                <w:t>/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1</w:t>
                              </w:r>
                              <w:proofErr w:type="spellEnd"/>
                              <w:r w:rsidRPr="00902B57">
                                <w:t xml:space="preserve">, 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3</w:t>
                              </w:r>
                              <w:proofErr w:type="spellEnd"/>
                              <w:r w:rsidRPr="00902B57">
                                <w:t>/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2</w:t>
                              </w:r>
                              <w:proofErr w:type="spellEnd"/>
                              <w:r w:rsidRPr="00902B57">
                                <w:t xml:space="preserve">, 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4</w:t>
                              </w:r>
                              <w:proofErr w:type="spellEnd"/>
                              <w:r w:rsidRPr="00902B57">
                                <w:t>/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3</w:t>
                              </w:r>
                              <w:proofErr w:type="spellEnd"/>
                              <w:proofErr w:type="gramStart"/>
                              <w:r w:rsidRPr="00902B57">
                                <w:t>…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proofErr w:type="gramEnd"/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+1</w:t>
                              </w:r>
                              <w:r w:rsidRPr="00902B57">
                                <w:t>/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spAutoFit/>
                        </wps:bodyPr>
                      </wps:wsp>
                      <wps:wsp>
                        <wps:cNvPr id="7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9992" y="1833533"/>
                            <a:ext cx="1917598" cy="4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Pr="00902B57" w:rsidRDefault="0033227D" w:rsidP="00A80F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color w:val="000000"/>
                                </w:rPr>
                                <w:t>2. Kategóriaképzés</w:t>
                              </w:r>
                              <w:r>
                                <w:rPr>
                                  <w:color w:val="000000"/>
                                </w:rPr>
                                <w:t>, terjedelem alapján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spAutoFit/>
                        </wps:bodyPr>
                      </wps:wsp>
                      <wps:wsp>
                        <wps:cNvPr id="7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8373" y="614991"/>
                            <a:ext cx="0" cy="24608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88337" y="1543050"/>
                            <a:ext cx="36" cy="2571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9"/>
                        <wps:cNvCnPr>
                          <a:cxnSpLocks noChangeShapeType="1"/>
                          <a:endCxn id="87" idx="1"/>
                        </wps:cNvCnPr>
                        <wps:spPr bwMode="auto">
                          <a:xfrm>
                            <a:off x="1118051" y="2327079"/>
                            <a:ext cx="388479" cy="36948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26033" y="2772984"/>
                            <a:ext cx="1967763" cy="4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Pr="00902B57" w:rsidRDefault="0033227D" w:rsidP="00A80F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color w:val="000000"/>
                                </w:rPr>
                                <w:t>3. Mintázatba sorolás</w:t>
                              </w:r>
                            </w:p>
                            <w:p w:rsidR="0033227D" w:rsidRPr="00902B57" w:rsidRDefault="0033227D" w:rsidP="00A80F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color w:val="000000"/>
                                </w:rPr>
                                <w:t>(legfeljebb 4 kategória)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spAutoFit/>
                        </wps:bodyPr>
                      </wps:wsp>
                      <wps:wsp>
                        <wps:cNvPr id="77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4235" y="2340001"/>
                            <a:ext cx="316140" cy="25141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37494" y="1624229"/>
                            <a:ext cx="1911112" cy="7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Pr="00902B57" w:rsidRDefault="0033227D" w:rsidP="00902B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color w:val="000000"/>
                                </w:rPr>
                                <w:t>4. Az j+1, 2, 3, z mintára legjobban hasonlító minta első elemeinek tárolása z-ig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noAutofit/>
                        </wps:bodyPr>
                      </wps:wsp>
                      <wps:wsp>
                        <wps:cNvPr id="79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18674" y="1095377"/>
                            <a:ext cx="0" cy="2776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26004" y="181072"/>
                            <a:ext cx="1814728" cy="7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Pr="00902B57" w:rsidRDefault="0033227D" w:rsidP="00902B5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color w:val="000000"/>
                                </w:rPr>
                                <w:t>6. Az előrejelzés illetve a tényadatok kiértékelése kategória/lépcső találat, illetve iránytartás szerint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spAutoFit/>
                        </wps:bodyPr>
                      </wps:wsp>
                      <wps:wsp>
                        <wps:cNvPr id="83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70605" y="354198"/>
                            <a:ext cx="6678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50125" y="98363"/>
                            <a:ext cx="1781033" cy="51662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8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99992" y="861075"/>
                            <a:ext cx="2009808" cy="672449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87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204097" y="2581390"/>
                            <a:ext cx="2065143" cy="786497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  <wps:wsp>
                        <wps:cNvPr id="88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790825" y="1396812"/>
                            <a:ext cx="2208521" cy="1174938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9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552700" y="47767"/>
                            <a:ext cx="2168894" cy="1047608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91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0125" y="107101"/>
                            <a:ext cx="1801505" cy="507889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9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39251" y="1790699"/>
                            <a:ext cx="1888225" cy="520723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9196BD8" id="Vászon 93" o:spid="_x0000_s1026" editas="canvas" style="width:404.55pt;height:271.5pt;mso-position-horizontal-relative:char;mso-position-vertical-relative:line" coordsize="51377,3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377;height:3448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99;top:2592;width:16446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vg8EA&#10;AADbAAAADwAAAGRycy9kb3ducmV2LnhtbERPTWvCQBC9C/0PyxR6000tmBJdpQiCB6GtevE2zY7Z&#10;YHY2ZNck/vvOodDj432vNqNvVE9drAMbeJ1loIjLYGuuDJxPu+k7qJiQLTaBycCDImzWT5MVFjYM&#10;/E39MVVKQjgWaMCl1BZax9KRxzgLLbFw19B5TAK7StsOBwn3jZ5n2UJ7rFkaHLa0dVTejncvJcPl&#10;a9e/LcrbYfh04SffXjB/GPPyPH4sQSUa07/4z723BnJZL1/kB+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AL4PBAAAA2wAAAA8AAAAAAAAAAAAAAAAAmAIAAGRycy9kb3du&#10;cmV2LnhtbFBLBQYAAAAABAAEAPUAAACGAwAAAAA=&#10;" filled="f" fillcolor="#99f" stroked="f" strokeweight="2pt">
                  <v:textbox style="mso-fit-shape-to-text:t" inset="1.72719mm,.86361mm,1.72719mm,.86361mm">
                    <w:txbxContent>
                      <w:p w:rsidR="0033227D" w:rsidRPr="00902B57" w:rsidRDefault="0033227D" w:rsidP="00A80F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902B57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902B57">
                          <w:rPr>
                            <w:color w:val="000000"/>
                          </w:rPr>
                          <w:t>0. Idősor</w:t>
                        </w:r>
                        <w:r>
                          <w:rPr>
                            <w:color w:val="000000"/>
                          </w:rPr>
                          <w:t xml:space="preserve"> feltöltése</w:t>
                        </w:r>
                      </w:p>
                    </w:txbxContent>
                  </v:textbox>
                </v:shape>
                <v:shape id="Text Box 5" o:spid="_x0000_s1029" type="#_x0000_t202" style="position:absolute;left:3047;top:9603;width:17214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KGMIA&#10;AADbAAAADwAAAGRycy9kb3ducmV2LnhtbESPS4vCMBSF98L8h3AH3GnqDNihGmUQBBcDPjfu7jTX&#10;ptjclCa29d8bQXB5OI+PM1/2thItNb50rGAyTkAQ506XXCg4HdejHxA+IGusHJOCO3lYLj4Gc8y0&#10;63hP7SEUIo6wz1CBCaHOpPS5IYt+7Gri6F1cYzFE2RRSN9jFcVvJrySZSoslR4LBmlaG8uvhZiOk&#10;O+/W7fc0v/51W+P+09UZ07tSw8/+dwYiUB/e4Vd7oxWkE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IoYwgAAANsAAAAPAAAAAAAAAAAAAAAAAJgCAABkcnMvZG93&#10;bnJldi54bWxQSwUGAAAAAAQABAD1AAAAhwMAAAAA&#10;" filled="f" fillcolor="#99f" stroked="f" strokeweight="2pt">
                  <v:textbox style="mso-fit-shape-to-text:t" inset="1.72719mm,.86361mm,1.72719mm,.86361mm">
                    <w:txbxContent>
                      <w:p w:rsidR="0033227D" w:rsidRPr="00F82D1D" w:rsidRDefault="0033227D" w:rsidP="00F82D1D">
                        <w:pPr>
                          <w:autoSpaceDE w:val="0"/>
                          <w:autoSpaceDN w:val="0"/>
                          <w:adjustRightInd w:val="0"/>
                          <w:ind w:left="360"/>
                          <w:rPr>
                            <w:color w:val="000000"/>
                          </w:rPr>
                        </w:pPr>
                        <w:r w:rsidRPr="00F82D1D">
                          <w:rPr>
                            <w:color w:val="000000"/>
                          </w:rPr>
                          <w:t>1.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F82D1D">
                          <w:rPr>
                            <w:color w:val="000000"/>
                          </w:rPr>
                          <w:t>Hányadosképzés</w:t>
                        </w:r>
                        <w:proofErr w:type="spellEnd"/>
                      </w:p>
                      <w:p w:rsidR="0033227D" w:rsidRPr="00902B57" w:rsidRDefault="0033227D" w:rsidP="00A80F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902B57">
                          <w:t>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2</w:t>
                        </w:r>
                        <w:r w:rsidRPr="00902B57">
                          <w:t>/t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1</w:t>
                        </w:r>
                        <w:r w:rsidRPr="00902B57">
                          <w:t>, 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3</w:t>
                        </w:r>
                        <w:r w:rsidRPr="00902B57">
                          <w:t>/t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2</w:t>
                        </w:r>
                        <w:r w:rsidRPr="00902B57">
                          <w:t>, 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4</w:t>
                        </w:r>
                        <w:r w:rsidRPr="00902B57">
                          <w:t>/t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3</w:t>
                        </w:r>
                        <w:proofErr w:type="gramStart"/>
                        <w:r w:rsidRPr="00902B57">
                          <w:t>…</w:t>
                        </w:r>
                        <w:proofErr w:type="spellStart"/>
                        <w:r w:rsidRPr="00902B57">
                          <w:t>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n</w:t>
                        </w:r>
                        <w:proofErr w:type="spellEnd"/>
                        <w:proofErr w:type="gramEnd"/>
                        <w:r w:rsidRPr="00902B57">
                          <w:rPr>
                            <w:kern w:val="24"/>
                            <w:vertAlign w:val="subscript"/>
                          </w:rPr>
                          <w:t>+1</w:t>
                        </w:r>
                        <w:r w:rsidRPr="00902B57">
                          <w:t>/</w:t>
                        </w:r>
                        <w:proofErr w:type="spellStart"/>
                        <w:r w:rsidRPr="00902B57">
                          <w:t>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v:shape id="Text Box 6" o:spid="_x0000_s1030" type="#_x0000_t202" style="position:absolute;left:1999;top:18335;width:19176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4Ub8IA&#10;AADbAAAADwAAAGRycy9kb3ducmV2LnhtbESPzYrCMBSF9wO+Q7iCuzFVwUo1igiCC8HRmY27a3Nt&#10;is1NaWJb334yMODycH4+zmrT20q01PjSsYLJOAFBnDtdcqHg53v/uQDhA7LGyjEpeJGHzXrwscJM&#10;u47P1F5CIeII+wwVmBDqTEqfG7Lox64mjt7dNRZDlE0hdYNdHLeVnCbJXFosORIM1rQzlD8uTxsh&#10;3fVr387m+ePYnYy7pbsrpi+lRsN+uwQRqA/v8H/7oBWkU/j7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hRvwgAAANsAAAAPAAAAAAAAAAAAAAAAAJgCAABkcnMvZG93&#10;bnJldi54bWxQSwUGAAAAAAQABAD1AAAAhwMAAAAA&#10;" filled="f" fillcolor="#99f" stroked="f" strokeweight="2pt">
                  <v:textbox style="mso-fit-shape-to-text:t" inset="1.72719mm,.86361mm,1.72719mm,.86361mm">
                    <w:txbxContent>
                      <w:p w:rsidR="0033227D" w:rsidRPr="00902B57" w:rsidRDefault="0033227D" w:rsidP="00A80F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902B57">
                          <w:rPr>
                            <w:color w:val="000000"/>
                          </w:rPr>
                          <w:t>2. Kategóriaképzés</w:t>
                        </w:r>
                        <w:r>
                          <w:rPr>
                            <w:color w:val="000000"/>
                          </w:rPr>
                          <w:t>, terjedelem alapján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8883,6149" to="8883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Hxg8MAAADbAAAADwAAAGRycy9kb3ducmV2LnhtbESPQWvCQBSE7wX/w/IEb3WjUi2pq4gg&#10;pNAeql68PbKvSWr2bcg+1/TfdwuFHoeZ+YZZbwfXqkh9aDwbmE0zUMSltw1XBs6nw+MzqCDIFlvP&#10;ZOCbAmw3o4c15tbf+YPiUSqVIBxyNFCLdLnWoazJYZj6jjh5n753KEn2lbY93hPctXqeZUvtsOG0&#10;UGNH+5rK6/HmDFy+qlMh86e3Jb6/okSKsSyiMZPxsHsBJTTIf/ivXVgDqwX8fkk/QG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R8YPDAAAA2wAAAA8AAAAAAAAAAAAA&#10;AAAAoQIAAGRycy9kb3ducmV2LnhtbFBLBQYAAAAABAAEAPkAAACRAwAAAAA=&#10;" strokeweight="2pt">
                  <v:stroke endarrow="block"/>
                  <v:shadow color="#00007d"/>
                </v:line>
                <v:line id="Line 8" o:spid="_x0000_s1032" style="position:absolute;visibility:visible;mso-wrap-style:square" from="8883,15430" to="8883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hp98MAAADbAAAADwAAAGRycy9kb3ducmV2LnhtbESPQWvCQBSE7wX/w/IEb3WjWC2pq4gg&#10;pNAeql68PbKvSWr2bcg+1/TfdwuFHoeZ+YZZbwfXqkh9aDwbmE0zUMSltw1XBs6nw+MzqCDIFlvP&#10;ZOCbAmw3o4c15tbf+YPiUSqVIBxyNFCLdLnWoazJYZj6jjh5n753KEn2lbY93hPctXqeZUvtsOG0&#10;UGNH+5rK6/HmDFy+qlMh86e3Jb6/okSKsSyiMZPxsHsBJTTIf/ivXVgDqwX8fkk/QG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4affDAAAA2wAAAA8AAAAAAAAAAAAA&#10;AAAAoQIAAGRycy9kb3ducmV2LnhtbFBLBQYAAAAABAAEAPkAAACRAwAAAAA=&#10;" strokeweight="2pt">
                  <v:stroke endarrow="block"/>
                  <v:shadow color="#00007d"/>
                </v:line>
                <v:line id="Line 9" o:spid="_x0000_s1033" style="position:absolute;visibility:visible;mso-wrap-style:square" from="11180,23270" to="15065,2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MbMIAAADbAAAADwAAAGRycy9kb3ducmV2LnhtbESPQWvCQBSE7wX/w/IEb3WjoJXUVUQQ&#10;UrCHqhdvj+xrkjb7NmRf1/jv3UKhx2FmvmHW28G1KlIfGs8GZtMMFHHpbcOVgcv58LwCFQTZYuuZ&#10;DNwpwHYzelpjbv2NPyiepFIJwiFHA7VIl2sdypochqnviJP36XuHkmRfadvjLcFdq+dZttQOG04L&#10;NXa0r6n8Pv04A9ev6lzIfHFc4vsbSqQYyyIaMxkPu1dQQoP8h//ahTXwsoDfL+kH6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TMbMIAAADbAAAADwAAAAAAAAAAAAAA&#10;AAChAgAAZHJzL2Rvd25yZXYueG1sUEsFBgAAAAAEAAQA+QAAAJADAAAAAA==&#10;" strokeweight="2pt">
                  <v:stroke endarrow="block"/>
                  <v:shadow color="#00007d"/>
                </v:line>
                <v:shape id="Text Box 10" o:spid="_x0000_s1034" type="#_x0000_t202" style="position:absolute;left:12260;top:27729;width:19677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SbMMA&#10;AADbAAAADwAAAGRycy9kb3ducmV2LnhtbESPzYrCMBSF9wO+Q7iCuzFVoZVqFBGEWQjOqBt31+ba&#10;FJub0mTa+vaTgYFZHs7Px1lvB1uLjlpfOVYwmyYgiAunKy4VXC+H9yUIH5A11o5JwYs8bDejtzXm&#10;2vX8Rd05lCKOsM9RgQmhyaX0hSGLfuoa4ug9XGsxRNmWUrfYx3Fby3mSpNJixZFgsKG9oeJ5/rYR&#10;0t8+D90iLZ7H/mTcPdvfMHspNRkPuxWIQEP4D/+1P7SCLIX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USbMMAAADbAAAADwAAAAAAAAAAAAAAAACYAgAAZHJzL2Rv&#10;d25yZXYueG1sUEsFBgAAAAAEAAQA9QAAAIgDAAAAAA==&#10;" filled="f" fillcolor="#99f" stroked="f" strokeweight="2pt">
                  <v:textbox style="mso-fit-shape-to-text:t" inset="1.72719mm,.86361mm,1.72719mm,.86361mm">
                    <w:txbxContent>
                      <w:p w:rsidR="0033227D" w:rsidRPr="00902B57" w:rsidRDefault="0033227D" w:rsidP="00A80F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902B57">
                          <w:rPr>
                            <w:color w:val="000000"/>
                          </w:rPr>
                          <w:t>3. Mintázatba sorolás</w:t>
                        </w:r>
                      </w:p>
                      <w:p w:rsidR="0033227D" w:rsidRPr="00902B57" w:rsidRDefault="0033227D" w:rsidP="00A80F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902B57">
                          <w:rPr>
                            <w:color w:val="000000"/>
                          </w:rPr>
                          <w:t>(legfeljebb 4 kategória)</w:t>
                        </w:r>
                      </w:p>
                    </w:txbxContent>
                  </v:textbox>
                </v:shape>
                <v:line id="Line 11" o:spid="_x0000_s1035" style="position:absolute;flip:y;visibility:visible;mso-wrap-style:square" from="26842,23400" to="30003,2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HHN8QAAADbAAAADwAAAGRycy9kb3ducmV2LnhtbESPQWvCQBSE70L/w/IKvYhuqqCSZpUi&#10;KCU9aUvp8ZF9JsHs22R3NfHfdwWhx2FmvmGyzWAacSXna8sKXqcJCOLC6ppLBd9fu8kKhA/IGhvL&#10;pOBGHjbrp1GGqbY9H+h6DKWIEPYpKqhCaFMpfVGRQT+1LXH0TtYZDFG6UmqHfYSbRs6SZCEN1hwX&#10;KmxpW1FxPl6Mgu4zX7ifbtjuu/n45scJ5/nvXKmX5+H9DUSgIfyHH+0PrWC5hPuX+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Mcc3xAAAANsAAAAPAAAAAAAAAAAA&#10;AAAAAKECAABkcnMvZG93bnJldi54bWxQSwUGAAAAAAQABAD5AAAAkgMAAAAA&#10;" strokeweight="2pt">
                  <v:stroke endarrow="block"/>
                  <v:shadow color="#00007d"/>
                </v:line>
                <v:shape id="Text Box 12" o:spid="_x0000_s1036" type="#_x0000_t202" style="position:absolute;left:29374;top:16242;width:19112;height:7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2C8EA&#10;AADbAAAADwAAAGRycy9kb3ducmV2LnhtbERPTYvCMBC9C/6HMMLeNLUHK9Uo6rKisAdXRa9jM7bV&#10;ZlKarNZ/vzkIe3y87+m8NZV4UONKywqGgwgEcWZ1ybmC4+GrPwbhPLLGyjIpeJGD+azbmWKq7ZN/&#10;6LH3uQgh7FJUUHhfp1K6rCCDbmBr4sBdbWPQB9jkUjf4DOGmknEUjaTBkkNDgTWtCsru+1+jYJmN&#10;/frb2uS2PScHednEn7tTrNRHr11MQHhq/b/47d5oBUkYG76EHy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dtgvBAAAA2wAAAA8AAAAAAAAAAAAAAAAAmAIAAGRycy9kb3du&#10;cmV2LnhtbFBLBQYAAAAABAAEAPUAAACGAwAAAAA=&#10;" filled="f" fillcolor="#99f" stroked="f" strokeweight="2pt">
                  <v:textbox inset="1.72719mm,.86361mm,1.72719mm,.86361mm">
                    <w:txbxContent>
                      <w:p w:rsidR="0033227D" w:rsidRPr="00902B57" w:rsidRDefault="0033227D" w:rsidP="00902B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902B57">
                          <w:rPr>
                            <w:color w:val="000000"/>
                          </w:rPr>
                          <w:t>4. Az j+1, 2, 3, z mintára legjobban hasonlító minta első elemeinek tárolása z-ig</w:t>
                        </w:r>
                      </w:p>
                    </w:txbxContent>
                  </v:textbox>
                </v:shape>
                <v:line id="Line 13" o:spid="_x0000_s1037" style="position:absolute;flip:y;visibility:visible;mso-wrap-style:square" from="37186,10953" to="37186,1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L23sQAAADbAAAADwAAAGRycy9kb3ducmV2LnhtbESPQWvCQBSE7wX/w/KEXkQ3rWA1ukoR&#10;Wko8VUU8PrLPJJh9m+xuNf57VxB6HGbmG2ax6kwtLuR8ZVnB2ygBQZxbXXGhYL/7Gk5B+ICssbZM&#10;Cm7kYbXsvSww1fbKv3TZhkJECPsUFZQhNKmUPi/JoB/Zhjh6J+sMhihdIbXDa4SbWr4nyUQarDgu&#10;lNjQuqT8vP0zCtpNNnGHtlt/t+PBzQ8SzrLjWKnXfvc5BxGoC//hZ/tHK/iYweN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vbexAAAANsAAAAPAAAAAAAAAAAA&#10;AAAAAKECAABkcnMvZG93bnJldi54bWxQSwUGAAAAAAQABAD5AAAAkgMAAAAA&#10;" strokeweight="2pt">
                  <v:stroke endarrow="block"/>
                  <v:shadow color="#00007d"/>
                </v:line>
                <v:shape id="Text Box 16" o:spid="_x0000_s1038" type="#_x0000_t202" style="position:absolute;left:27260;top:1810;width:18147;height:7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kSMQA&#10;AADbAAAADwAAAGRycy9kb3ducmV2LnhtbESPzWrCQBSF9wXfYbhCd3WihSipo0gg4KLQNrpxd83c&#10;ZoKZOyEzJvHtO4VCl4fz83G2+8m2YqDeN44VLBcJCOLK6YZrBedT8bIB4QOyxtYxKXiQh/1u9rTF&#10;TLuRv2goQy3iCPsMFZgQukxKXxmy6BeuI47et+sthij7WuoexzhuW7lKklRabDgSDHaUG6pu5d1G&#10;yHj5LIbXtLq9jx/GXdf5BdcPpZ7n0+ENRKAp/If/2ketYLOC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LZEjEAAAA2wAAAA8AAAAAAAAAAAAAAAAAmAIAAGRycy9k&#10;b3ducmV2LnhtbFBLBQYAAAAABAAEAPUAAACJAwAAAAA=&#10;" filled="f" fillcolor="#99f" stroked="f" strokeweight="2pt">
                  <v:textbox style="mso-fit-shape-to-text:t" inset="1.72719mm,.86361mm,1.72719mm,.86361mm">
                    <w:txbxContent>
                      <w:p w:rsidR="0033227D" w:rsidRPr="00902B57" w:rsidRDefault="0033227D" w:rsidP="00902B5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902B57">
                          <w:rPr>
                            <w:color w:val="000000"/>
                          </w:rPr>
                          <w:t>6. Az előrejelzés illetve a tényadatok kiértékelése kategória/lépcső találat, illetve iránytartás szerint</w:t>
                        </w:r>
                      </w:p>
                    </w:txbxContent>
                  </v:textbox>
                </v:shape>
                <v:line id="Line 17" o:spid="_x0000_s1039" style="position:absolute;flip:x;visibility:visible;mso-wrap-style:square" from="19706,3541" to="26384,3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+xE8MAAADbAAAADwAAAGRycy9kb3ducmV2LnhtbESPQWvCQBSE74L/YXlCL6IbGxCJriKC&#10;paSnqojHR/aZBLNvk92txn/fLRQ8DjPzDbPa9KYRd3K+tqxgNk1AEBdW11wqOB33kwUIH5A1NpZJ&#10;wZM8bNbDwQozbR/8TfdDKEWEsM9QQRVCm0npi4oM+qltiaN3tc5giNKVUjt8RLhp5HuSzKXBmuNC&#10;hS3tKipuhx+joPvK5+7c9buPLh0//TjhPL+kSr2N+u0SRKA+vML/7U+tYJHC35f4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fsRPDAAAA2wAAAA8AAAAAAAAAAAAA&#10;AAAAoQIAAGRycy9kb3ducmV2LnhtbFBLBQYAAAAABAAEAPkAAACRAwAAAAA=&#10;" strokeweight="2pt">
                  <v:stroke endarrow="block"/>
                  <v:shadow color="#00007d"/>
                </v:line>
                <v:oval id="Oval 18" o:spid="_x0000_s1040" style="position:absolute;left:1501;top:983;width:17810;height:5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DwsMA&#10;AADbAAAADwAAAGRycy9kb3ducmV2LnhtbESPzWoCMRSF9wXfIVzBXc2opcholCIKroSqWNzdTq4z&#10;Q5ObIYnj6NM3BaHLw/n5OPNlZ41oyYfasYLRMANBXDhdc6ngeNi8TkGEiKzROCYFdwqwXPRe5phr&#10;d+NPavexFGmEQ44KqhibXMpQVGQxDF1DnLyL8xZjkr6U2uMtjVsjx1n2Li3WnAgVNrSqqPjZX23i&#10;htN5bR5n30y+6l3WjkfdtzVKDfrdxwxEpC7+h5/trVYwfYO/L+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kDwsMAAADbAAAADwAAAAAAAAAAAAAAAACYAgAAZHJzL2Rv&#10;d25yZXYueG1sUEsFBgAAAAAEAAQA9QAAAIgDAAAAAA==&#10;" filled="f" fillcolor="#99f">
                  <v:shadow color="#00007d"/>
                  <v:textbox style="mso-fit-shape-to-text:t"/>
                </v:oval>
                <v:oval id="Oval 19" o:spid="_x0000_s1041" style="position:absolute;left:1999;top:8610;width:20099;height:6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eb8UA&#10;AADbAAAADwAAAGRycy9kb3ducmV2LnhtbESPT2vCQBTE70K/w/IKvUjdKFpC6iqlIhS8+K89P3Zf&#10;k2D2bcyuJvrpXUHwOMzMb5jpvLOVOFPjS8cKhoMEBLF2puRcwX63fE9B+IBssHJMCi7kYT576U0x&#10;M67lDZ23IRcRwj5DBUUIdSal1wVZ9ANXE0fv3zUWQ5RNLk2DbYTbSo6S5ENaLDkuFFjTd0H6sD1Z&#10;Bbp/TYfd6rRfHI6/+tgu/9b12Cr19tp9fYII1IVn+NH+MQrSCdy/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J5vxQAAANsAAAAPAAAAAAAAAAAAAAAAAJgCAABkcnMv&#10;ZG93bnJldi54bWxQSwUGAAAAAAQABAD1AAAAigMAAAAA&#10;" filled="f" fillcolor="#99f" strokeweight="2pt">
                  <v:shadow color="#00007d"/>
                  <v:textbox style="mso-fit-shape-to-text:t"/>
                </v:oval>
                <v:oval id="Oval 21" o:spid="_x0000_s1042" style="position:absolute;left:12040;top:25813;width:20652;height:78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UHsQA&#10;AADbAAAADwAAAGRycy9kb3ducmV2LnhtbESPQWvCQBSE70L/w/IKvYhutFQluoqttnrVCOLtkX0m&#10;odm3YXc16b/vFgoeh5n5hlmsOlOLOzlfWVYwGiYgiHOrKy4UnLLPwQyED8gaa8uk4Ic8rJZPvQWm&#10;2rZ8oPsxFCJC2KeooAyhSaX0eUkG/dA2xNG7WmcwROkKqR22EW5qOU6SiTRYcVwosaGPkvLv480o&#10;2Iz61Xjz3n7tLuv9K2Vv7rzNnFIvz916DiJQFx7h//ZeK5h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lB7EAAAA2wAAAA8AAAAAAAAAAAAAAAAAmAIAAGRycy9k&#10;b3ducmV2LnhtbFBLBQYAAAAABAAEAPUAAACJAwAAAAA=&#10;" filled="f" fillcolor="#99f" strokeweight="2pt">
                  <v:shadow color="#00007d"/>
                  <v:textbox style="mso-fit-shape-to-text:t"/>
                </v:oval>
                <v:oval id="Oval 22" o:spid="_x0000_s1043" style="position:absolute;left:27908;top:13968;width:22085;height:11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x8cEA&#10;AADbAAAADwAAAGRycy9kb3ducmV2LnhtbERPTYvCMBC9C/sfwix4kTVVREo1yrIiCF7Udfc8JGNb&#10;bCa1ibb6681B8Ph43/NlZytxo8aXjhWMhgkIYu1MybmC4+/6KwXhA7LByjEpuJOH5eKjN8fMuJb3&#10;dDuEXMQQ9hkqKEKoMym9LsiiH7qaOHIn11gMETa5NA22MdxWcpwkU2mx5NhQYE0/Benz4WoV6MEj&#10;HXXb63F1vvzpS7v+39UTq1T/s/uegQjUhbf45d4YBWkcG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1MfHBAAAA2wAAAA8AAAAAAAAAAAAAAAAAmAIAAGRycy9kb3du&#10;cmV2LnhtbFBLBQYAAAAABAAEAPUAAACGAwAAAAA=&#10;" filled="f" fillcolor="#99f" strokeweight="2pt">
                  <v:shadow color="#00007d"/>
                  <v:textbox style="mso-fit-shape-to-text:t"/>
                </v:oval>
                <v:oval id="Oval 24" o:spid="_x0000_s1044" style="position:absolute;left:25527;top:477;width:21688;height:10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rKsEA&#10;AADbAAAADwAAAGRycy9kb3ducmV2LnhtbERPTYvCMBC9C/sfwgheRFNFRKtRFkVY8LK6ruchGdti&#10;M6lNtF1/vTkseHy87+W6taV4UO0LxwpGwwQEsXam4EzB6Wc3mIHwAdlg6ZgU/JGH9eqjs8TUuIYP&#10;9DiGTMQQ9ikqyEOoUim9zsmiH7qKOHIXV1sMEdaZNDU2MdyWcpwkU2mx4NiQY0WbnPT1eLcKdP85&#10;G7X7+2l7vf3qW7M7f1cTq1Sv234uQARqw1v87/4yCuZxffw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aqyrBAAAA2wAAAA8AAAAAAAAAAAAAAAAAmAIAAGRycy9kb3du&#10;cmV2LnhtbFBLBQYAAAAABAAEAPUAAACGAwAAAAA=&#10;" filled="f" fillcolor="#99f" strokeweight="2pt">
                  <v:shadow color="#00007d"/>
                  <v:textbox style="mso-fit-shape-to-text:t"/>
                </v:oval>
                <v:oval id="Oval 25" o:spid="_x0000_s1045" style="position:absolute;left:1501;top:1071;width:18015;height:5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OscQA&#10;AADbAAAADwAAAGRycy9kb3ducmV2LnhtbESPQWvCQBSE7wX/w/IEL0U3KVI0uopYBKEXa9XzY/eZ&#10;BLNvY3Y1qb/eLRR6HGbmG2a+7Gwl7tT40rGCdJSAINbOlJwrOHxvhhMQPiAbrByTgh/ysFz0XuaY&#10;GdfyF933IRcRwj5DBUUIdSal1wVZ9CNXE0fv7BqLIcoml6bBNsJtJd+S5F1aLDkuFFjTuiB92d+s&#10;Av36mKTd5+3wcbke9bXdnHb12Co16HerGYhAXfgP/7W3RsE0hd8v8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WDrHEAAAA2wAAAA8AAAAAAAAAAAAAAAAAmAIAAGRycy9k&#10;b3ducmV2LnhtbFBLBQYAAAAABAAEAPUAAACJAwAAAAA=&#10;" filled="f" fillcolor="#99f" strokeweight="2pt">
                  <v:shadow color="#00007d"/>
                  <v:textbox style="mso-fit-shape-to-text:t"/>
                </v:oval>
                <v:oval id="Oval 26" o:spid="_x0000_s1046" style="position:absolute;left:2392;top:17906;width:18882;height:52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QxsUA&#10;AADbAAAADwAAAGRycy9kb3ducmV2LnhtbESPQWvCQBSE74X+h+UJXkrdKCJpzCqlRRB6aa31/Nh9&#10;JiHZtzG7mtRf3y0IHoeZ+YbJ14NtxIU6XzlWMJ0kIIi1MxUXCvbfm+cUhA/IBhvHpOCXPKxXjw85&#10;Zsb1/EWXXShEhLDPUEEZQptJ6XVJFv3EtcTRO7rOYoiyK6TpsI9w28hZkiykxYrjQoktvZWk693Z&#10;KtBP13Q6fJz37/XpR5/6zeGznVulxqPhdQki0BDu4Vt7axS8zOD/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JDGxQAAANsAAAAPAAAAAAAAAAAAAAAAAJgCAABkcnMv&#10;ZG93bnJldi54bWxQSwUGAAAAAAQABAD1AAAAigMAAAAA&#10;" filled="f" fillcolor="#99f" strokeweight="2pt">
                  <v:shadow color="#00007d"/>
                  <v:textbox style="mso-fit-shape-to-text:t"/>
                </v:oval>
                <w10:anchorlock/>
              </v:group>
            </w:pict>
          </mc:Fallback>
        </mc:AlternateContent>
      </w:r>
    </w:p>
    <w:p w:rsidR="00902B57" w:rsidRDefault="00902B57" w:rsidP="00801003">
      <w:pPr>
        <w:pStyle w:val="Kpalrs"/>
        <w:spacing w:before="120" w:after="120"/>
        <w:jc w:val="center"/>
        <w:rPr>
          <w:b/>
          <w:i w:val="0"/>
        </w:rPr>
      </w:pPr>
      <w:r w:rsidRPr="00902B57">
        <w:rPr>
          <w:b/>
          <w:i w:val="0"/>
        </w:rPr>
        <w:fldChar w:fldCharType="begin"/>
      </w:r>
      <w:r w:rsidRPr="00902B57">
        <w:rPr>
          <w:b/>
          <w:i w:val="0"/>
        </w:rPr>
        <w:instrText xml:space="preserve"> SEQ ábra \* ARABIC </w:instrText>
      </w:r>
      <w:r w:rsidRPr="00902B57">
        <w:rPr>
          <w:b/>
          <w:i w:val="0"/>
        </w:rPr>
        <w:fldChar w:fldCharType="separate"/>
      </w:r>
      <w:r w:rsidR="00BC77C9">
        <w:rPr>
          <w:b/>
          <w:i w:val="0"/>
          <w:noProof/>
        </w:rPr>
        <w:t>3</w:t>
      </w:r>
      <w:r w:rsidRPr="00902B57">
        <w:rPr>
          <w:b/>
          <w:i w:val="0"/>
        </w:rPr>
        <w:fldChar w:fldCharType="end"/>
      </w:r>
      <w:r w:rsidRPr="00902B57">
        <w:rPr>
          <w:b/>
          <w:i w:val="0"/>
        </w:rPr>
        <w:t>. ábra Hasonlóságkereső mo</w:t>
      </w:r>
      <w:r>
        <w:rPr>
          <w:b/>
          <w:i w:val="0"/>
        </w:rPr>
        <w:t>dell</w:t>
      </w:r>
      <w:r w:rsidR="00D32528">
        <w:rPr>
          <w:b/>
          <w:i w:val="0"/>
        </w:rPr>
        <w:t xml:space="preserve"> v1.0</w:t>
      </w:r>
      <w:r>
        <w:rPr>
          <w:b/>
          <w:i w:val="0"/>
        </w:rPr>
        <w:t xml:space="preserve"> működési áttekintő ábrája</w:t>
      </w:r>
    </w:p>
    <w:p w:rsidR="00A80FAC" w:rsidRPr="00902B57" w:rsidRDefault="00902B57" w:rsidP="00902B57">
      <w:pPr>
        <w:pStyle w:val="Kpalrs"/>
        <w:spacing w:after="0"/>
        <w:jc w:val="center"/>
        <w:rPr>
          <w:b/>
          <w:i w:val="0"/>
        </w:rPr>
      </w:pPr>
      <w:r>
        <w:rPr>
          <w:b/>
          <w:i w:val="0"/>
        </w:rPr>
        <w:t>F</w:t>
      </w:r>
      <w:r w:rsidRPr="00902B57">
        <w:rPr>
          <w:b/>
          <w:i w:val="0"/>
        </w:rPr>
        <w:t>orrás: saját munka</w:t>
      </w:r>
    </w:p>
    <w:p w:rsidR="00801003" w:rsidRDefault="00801003" w:rsidP="000F10FE">
      <w:pPr>
        <w:tabs>
          <w:tab w:val="center" w:pos="4536"/>
          <w:tab w:val="left" w:pos="7080"/>
        </w:tabs>
        <w:autoSpaceDE w:val="0"/>
        <w:autoSpaceDN w:val="0"/>
        <w:adjustRightInd w:val="0"/>
        <w:jc w:val="both"/>
      </w:pPr>
    </w:p>
    <w:p w:rsidR="00D32528" w:rsidRDefault="00801003" w:rsidP="000F10FE">
      <w:pPr>
        <w:tabs>
          <w:tab w:val="center" w:pos="4536"/>
          <w:tab w:val="left" w:pos="7080"/>
        </w:tabs>
        <w:autoSpaceDE w:val="0"/>
        <w:autoSpaceDN w:val="0"/>
        <w:adjustRightInd w:val="0"/>
        <w:jc w:val="both"/>
      </w:pPr>
      <w:r>
        <w:t xml:space="preserve">A modell sajátosságának tekinthető, hogy bizonyos mintázat sorozatokat sikeresen felismer és követ, majd manuális beavatkozás nélkül új </w:t>
      </w:r>
      <w:r w:rsidR="001463EF">
        <w:t>mintázat</w:t>
      </w:r>
      <w:r>
        <w:t>sorozatot keres, talál és követ, egy következő felbukkanásáig.</w:t>
      </w:r>
      <w:r w:rsidR="001463EF">
        <w:t xml:space="preserve"> Ez tekinthető egyfajta </w:t>
      </w:r>
      <w:r w:rsidR="00D32528">
        <w:t>mintázat-felismerő tulajdonságnak.</w:t>
      </w:r>
      <w:r w:rsidR="007F71D1">
        <w:t xml:space="preserve"> </w:t>
      </w:r>
      <w:r w:rsidR="007F71D1" w:rsidRPr="001D47DD">
        <w:t>A modell nem az extrém szélsőséges esetek előrejelzésére</w:t>
      </w:r>
      <w:r w:rsidR="00515ADB" w:rsidRPr="001D47DD">
        <w:t xml:space="preserve"> szolgál. A kapott inputokból származó kategóriák eloszlása, normális eloszlást mutat. Minden a továbbiakban bemutatott teszteredményhez a kategóriák darabszámát is mutató táblázat tartozik.</w:t>
      </w:r>
    </w:p>
    <w:p w:rsidR="00515ADB" w:rsidRDefault="00515ADB" w:rsidP="000F10FE">
      <w:pPr>
        <w:tabs>
          <w:tab w:val="center" w:pos="4536"/>
          <w:tab w:val="left" w:pos="7080"/>
        </w:tabs>
        <w:autoSpaceDE w:val="0"/>
        <w:autoSpaceDN w:val="0"/>
        <w:adjustRightInd w:val="0"/>
        <w:jc w:val="both"/>
      </w:pPr>
    </w:p>
    <w:p w:rsidR="00D32528" w:rsidRPr="00D32528" w:rsidRDefault="00D32528" w:rsidP="000F10FE">
      <w:pPr>
        <w:tabs>
          <w:tab w:val="center" w:pos="4536"/>
          <w:tab w:val="left" w:pos="7080"/>
        </w:tabs>
        <w:autoSpaceDE w:val="0"/>
        <w:autoSpaceDN w:val="0"/>
        <w:adjustRightInd w:val="0"/>
        <w:jc w:val="both"/>
        <w:rPr>
          <w:i/>
        </w:rPr>
      </w:pPr>
      <w:r w:rsidRPr="00D32528">
        <w:rPr>
          <w:i/>
        </w:rPr>
        <w:t>2.2 Hasonlóságkereső modell v1.1</w:t>
      </w:r>
    </w:p>
    <w:p w:rsidR="006C0977" w:rsidRDefault="006C0977" w:rsidP="00232A0F">
      <w:pPr>
        <w:autoSpaceDE w:val="0"/>
        <w:autoSpaceDN w:val="0"/>
        <w:adjustRightInd w:val="0"/>
        <w:jc w:val="both"/>
      </w:pPr>
    </w:p>
    <w:p w:rsidR="00D32528" w:rsidRDefault="00D32528" w:rsidP="00232A0F">
      <w:pPr>
        <w:autoSpaceDE w:val="0"/>
        <w:autoSpaceDN w:val="0"/>
        <w:adjustRightInd w:val="0"/>
        <w:jc w:val="both"/>
      </w:pPr>
      <w:r>
        <w:t>Az 1.0 verzió tesztelése és szűk körű bemutatása közben felmerült észrevételek eredményezték az 1.1 verzió megszületését. A változtatások az algoritmus gyorsabb futtatásához vezettek, továbbá új elmél</w:t>
      </w:r>
      <w:r w:rsidR="00F82D1D">
        <w:t>eti lehetőségeket nyitottak meg.</w:t>
      </w:r>
    </w:p>
    <w:p w:rsidR="00F82D1D" w:rsidRDefault="00F82D1D" w:rsidP="00232A0F">
      <w:pPr>
        <w:autoSpaceDE w:val="0"/>
        <w:autoSpaceDN w:val="0"/>
        <w:adjustRightInd w:val="0"/>
        <w:jc w:val="both"/>
      </w:pPr>
      <w:r>
        <w:t xml:space="preserve">Gyorsabb működést tett lehetővé, a terjedelem helyett SORSZÁM függvényes kategóriaképzés. Új lehetőségeket nyitott meg, a mintázatokba 4 helyett 5 kategória egymás mellé rendelése. Elméletileg a mintázatokba sorolandó kategóriák számát az alapján lehetne meghatározni, hogy ténylegesen milyen összefüggő mintázatok ismerhetőek fel az idősorban. Könnyen valószínűsíthető, hogy így többféle számú mintázat lenne </w:t>
      </w:r>
      <w:r w:rsidR="00CF0DA9">
        <w:t>meg</w:t>
      </w:r>
      <w:r>
        <w:t>található, amelyekre a hasonlóságkereső modellnek keresnie kellene. Viszont, mekkora valószínűséggel ismerhető fel hasonlóság, egy 3 és egy 7 kategóriát tömörítő mintázatban?</w:t>
      </w:r>
      <w:r w:rsidR="000A5377">
        <w:t xml:space="preserve"> A 2. ábrán látható az 1.1 verzió működési elve, legfeljebb 5 kategóriát tömörítő mintázatkorláttal.</w:t>
      </w:r>
    </w:p>
    <w:p w:rsidR="008A67FB" w:rsidRDefault="008A67FB" w:rsidP="00232A0F">
      <w:pPr>
        <w:autoSpaceDE w:val="0"/>
        <w:autoSpaceDN w:val="0"/>
        <w:adjustRightInd w:val="0"/>
        <w:jc w:val="both"/>
      </w:pPr>
    </w:p>
    <w:p w:rsidR="008A67FB" w:rsidRDefault="008A67FB" w:rsidP="008A67FB">
      <w:pPr>
        <w:autoSpaceDE w:val="0"/>
        <w:autoSpaceDN w:val="0"/>
        <w:adjustRightInd w:val="0"/>
        <w:jc w:val="center"/>
      </w:pPr>
      <w:r w:rsidRPr="00A0576C">
        <w:rPr>
          <w:noProof/>
          <w:sz w:val="22"/>
          <w:szCs w:val="22"/>
        </w:rPr>
        <w:lastRenderedPageBreak/>
        <mc:AlternateContent>
          <mc:Choice Requires="wpc">
            <w:drawing>
              <wp:inline distT="0" distB="0" distL="0" distR="0" wp14:anchorId="21812946" wp14:editId="73193140">
                <wp:extent cx="5137785" cy="3448051"/>
                <wp:effectExtent l="0" t="0" r="0" b="0"/>
                <wp:docPr id="37" name="Vászo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2867" y="259273"/>
                            <a:ext cx="1644548" cy="23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Pr="00902B57" w:rsidRDefault="0033227D" w:rsidP="000A5377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r w:rsidRPr="00902B57">
                                <w:rPr>
                                  <w:color w:val="000000"/>
                                </w:rPr>
                                <w:t>0. Idősor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feltöltése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sp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4767" y="960313"/>
                            <a:ext cx="1721383" cy="4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Pr="00F82D1D" w:rsidRDefault="0033227D" w:rsidP="000A537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F82D1D">
                                <w:rPr>
                                  <w:color w:val="000000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F82D1D">
                                <w:rPr>
                                  <w:color w:val="000000"/>
                                </w:rPr>
                                <w:t>Hányadosképzés</w:t>
                              </w:r>
                              <w:proofErr w:type="spellEnd"/>
                            </w:p>
                            <w:p w:rsidR="0033227D" w:rsidRPr="00902B57" w:rsidRDefault="0033227D" w:rsidP="000A537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2</w:t>
                              </w:r>
                              <w:proofErr w:type="spellEnd"/>
                              <w:r w:rsidRPr="00902B57">
                                <w:t>/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1</w:t>
                              </w:r>
                              <w:proofErr w:type="spellEnd"/>
                              <w:r w:rsidRPr="00902B57">
                                <w:t xml:space="preserve">, 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3</w:t>
                              </w:r>
                              <w:proofErr w:type="spellEnd"/>
                              <w:r w:rsidRPr="00902B57">
                                <w:t>/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2</w:t>
                              </w:r>
                              <w:proofErr w:type="spellEnd"/>
                              <w:r w:rsidRPr="00902B57">
                                <w:t xml:space="preserve">, 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4</w:t>
                              </w:r>
                              <w:proofErr w:type="spellEnd"/>
                              <w:r w:rsidRPr="00902B57">
                                <w:t>/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3</w:t>
                              </w:r>
                              <w:proofErr w:type="spellEnd"/>
                              <w:proofErr w:type="gramStart"/>
                              <w:r w:rsidRPr="00902B57">
                                <w:t>…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proofErr w:type="gramEnd"/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+1</w:t>
                              </w:r>
                              <w:r w:rsidRPr="00902B57">
                                <w:t>/</w:t>
                              </w:r>
                              <w:proofErr w:type="spellStart"/>
                              <w:r w:rsidRPr="00902B57">
                                <w:t>t</w:t>
                              </w:r>
                              <w:r w:rsidRPr="00902B57">
                                <w:rPr>
                                  <w:kern w:val="24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sp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9992" y="1833531"/>
                            <a:ext cx="1917598" cy="4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Default="0033227D" w:rsidP="008A67F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color w:val="000000"/>
                                </w:rPr>
                                <w:t>2. Kategóriaképzés</w:t>
                              </w:r>
                              <w:r>
                                <w:rPr>
                                  <w:color w:val="000000"/>
                                </w:rPr>
                                <w:t>,</w:t>
                              </w:r>
                            </w:p>
                            <w:p w:rsidR="0033227D" w:rsidRPr="00902B57" w:rsidRDefault="0033227D" w:rsidP="008A67F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sorszám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függvénnyel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spAutoFit/>
                        </wps:bodyPr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8373" y="614991"/>
                            <a:ext cx="0" cy="24608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88337" y="1543050"/>
                            <a:ext cx="36" cy="2571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  <a:endCxn id="32" idx="1"/>
                        </wps:cNvCnPr>
                        <wps:spPr bwMode="auto">
                          <a:xfrm>
                            <a:off x="1118051" y="2327079"/>
                            <a:ext cx="388479" cy="36948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26033" y="2772984"/>
                            <a:ext cx="1967763" cy="4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Pr="00902B57" w:rsidRDefault="0033227D" w:rsidP="008A67F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color w:val="000000"/>
                                </w:rPr>
                                <w:t>3. Mintázatba sorolás</w:t>
                              </w:r>
                            </w:p>
                            <w:p w:rsidR="0033227D" w:rsidRPr="00902B57" w:rsidRDefault="0033227D" w:rsidP="008A67F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</w:rPr>
                                <w:t>legfeljebb 5</w:t>
                              </w:r>
                              <w:r w:rsidRPr="00902B57">
                                <w:rPr>
                                  <w:color w:val="000000"/>
                                </w:rPr>
                                <w:t xml:space="preserve"> kategória)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spAutoFit/>
                        </wps:bodyPr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4235" y="2390775"/>
                            <a:ext cx="211365" cy="2006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0" y="1748054"/>
                            <a:ext cx="1911112" cy="7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Pr="00902B57" w:rsidRDefault="0033227D" w:rsidP="000A5377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color w:val="000000"/>
                                </w:rPr>
                                <w:t>4. Az j+1, 2, 3, z mintára legjobban hasonlító minta első elemeinek tárolása z-ig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noAutofit/>
                        </wps:bodyPr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7575" y="1209675"/>
                            <a:ext cx="0" cy="26670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21254" y="259273"/>
                            <a:ext cx="1814728" cy="7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27D" w:rsidRPr="00902B57" w:rsidRDefault="0033227D" w:rsidP="000A5377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902B57">
                                <w:rPr>
                                  <w:color w:val="000000"/>
                                </w:rPr>
                                <w:t>6. Az előrejelzés illetve a tényadatok kiértékelése kategória/lépcső találat, illetve iránytartás szerint</w:t>
                              </w:r>
                            </w:p>
                          </w:txbxContent>
                        </wps:txbx>
                        <wps:bodyPr rot="0" vert="horz" wrap="square" lIns="62179" tIns="31090" rIns="62179" bIns="31090" anchor="t" anchorCtr="0" upright="1">
                          <a:spAutoFit/>
                        </wps:bodyPr>
                      </wps:wsp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70605" y="342900"/>
                            <a:ext cx="713630" cy="1129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50125" y="98363"/>
                            <a:ext cx="1781033" cy="51662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1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99992" y="861075"/>
                            <a:ext cx="2009808" cy="672449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204097" y="2581390"/>
                            <a:ext cx="2065143" cy="786497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  <wps:wsp>
                        <wps:cNvPr id="33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724150" y="1453962"/>
                            <a:ext cx="2208521" cy="1174938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552699" y="47767"/>
                            <a:ext cx="2295525" cy="1161908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0125" y="107101"/>
                            <a:ext cx="1801505" cy="507889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3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39251" y="1790699"/>
                            <a:ext cx="1888225" cy="520723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7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812946" id="Vászon 37" o:spid="_x0000_s1047" editas="canvas" style="width:404.55pt;height:271.5pt;mso-position-horizontal-relative:char;mso-position-vertical-relative:line" coordsize="51377,3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">
                <v:shape id="_x0000_s1048" type="#_x0000_t75" style="position:absolute;width:51377;height:34480;visibility:visible;mso-wrap-style:square">
                  <v:fill o:detectmouseclick="t"/>
                  <v:path o:connecttype="none"/>
                </v:shape>
                <v:shape id="Text Box 4" o:spid="_x0000_s1049" type="#_x0000_t202" style="position:absolute;left:3428;top:2592;width:16446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UIMIA&#10;AADaAAAADwAAAGRycy9kb3ducmV2LnhtbESPT4vCMBDF78J+hzAL3my6K+hSjbIIggfBvxdvs83Y&#10;FJtJabJt/fZGEDwNw3vzfm/my95WoqXGl44VfCUpCOLc6ZILBefTevQDwgdkjZVjUnAnD8vFx2CO&#10;mXYdH6g9hkLEEPYZKjAh1JmUPjdk0SeuJo7a1TUWQ1ybQuoGuxhuK/mdphNpseRIMFjTylB+O/7b&#10;COku+3U7nuS3bbcz7m+6uuD0rtTws/+dgQjUh7f5db3RsT48X3lO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BQgwgAAANoAAAAPAAAAAAAAAAAAAAAAAJgCAABkcnMvZG93&#10;bnJldi54bWxQSwUGAAAAAAQABAD1AAAAhwMAAAAA&#10;" filled="f" fillcolor="#99f" stroked="f" strokeweight="2pt">
                  <v:textbox style="mso-fit-shape-to-text:t" inset="1.72719mm,.86361mm,1.72719mm,.86361mm">
                    <w:txbxContent>
                      <w:p w:rsidR="0033227D" w:rsidRPr="00902B57" w:rsidRDefault="0033227D" w:rsidP="000A5377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</w:rPr>
                        </w:pPr>
                        <w:r w:rsidRPr="00902B57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902B57">
                          <w:rPr>
                            <w:color w:val="000000"/>
                          </w:rPr>
                          <w:t>0. Idősor</w:t>
                        </w:r>
                        <w:r>
                          <w:rPr>
                            <w:color w:val="000000"/>
                          </w:rPr>
                          <w:t xml:space="preserve"> feltöltése</w:t>
                        </w:r>
                      </w:p>
                    </w:txbxContent>
                  </v:textbox>
                </v:shape>
                <v:shape id="Text Box 5" o:spid="_x0000_s1050" type="#_x0000_t202" style="position:absolute;left:3047;top:9603;width:17214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KV8MA&#10;AADaAAAADwAAAGRycy9kb3ducmV2LnhtbESPS2vCQBSF9wX/w3CF7uqkClHSjFIEwYXQarvJ7pq5&#10;zQQzd0JmzOPfdwoFl4fz+Dj5brSN6KnztWMFr4sEBHHpdM2Vgu+vw8sGhA/IGhvHpGAiD7vt7CnH&#10;TLuBz9RfQiXiCPsMFZgQ2kxKXxqy6BeuJY7ej+sshii7SuoOhzhuG7lMklRarDkSDLa0N1TeLncb&#10;IUPxeehXaXk7DR/GXdf7AteTUs/z8f0NRKAxPML/7aNWsIS/K/EG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aKV8MAAADaAAAADwAAAAAAAAAAAAAAAACYAgAAZHJzL2Rv&#10;d25yZXYueG1sUEsFBgAAAAAEAAQA9QAAAIgDAAAAAA==&#10;" filled="f" fillcolor="#99f" stroked="f" strokeweight="2pt">
                  <v:textbox style="mso-fit-shape-to-text:t" inset="1.72719mm,.86361mm,1.72719mm,.86361mm">
                    <w:txbxContent>
                      <w:p w:rsidR="0033227D" w:rsidRPr="00F82D1D" w:rsidRDefault="0033227D" w:rsidP="000A537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F82D1D">
                          <w:rPr>
                            <w:color w:val="000000"/>
                          </w:rPr>
                          <w:t>1.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F82D1D">
                          <w:rPr>
                            <w:color w:val="000000"/>
                          </w:rPr>
                          <w:t>Hányadosképzés</w:t>
                        </w:r>
                        <w:proofErr w:type="spellEnd"/>
                      </w:p>
                      <w:p w:rsidR="0033227D" w:rsidRPr="00902B57" w:rsidRDefault="0033227D" w:rsidP="000A537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902B57">
                          <w:t>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2</w:t>
                        </w:r>
                        <w:r w:rsidRPr="00902B57">
                          <w:t>/t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1</w:t>
                        </w:r>
                        <w:r w:rsidRPr="00902B57">
                          <w:t>, 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3</w:t>
                        </w:r>
                        <w:r w:rsidRPr="00902B57">
                          <w:t>/t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2</w:t>
                        </w:r>
                        <w:r w:rsidRPr="00902B57">
                          <w:t>, 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4</w:t>
                        </w:r>
                        <w:r w:rsidRPr="00902B57">
                          <w:t>/t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3</w:t>
                        </w:r>
                        <w:proofErr w:type="gramStart"/>
                        <w:r w:rsidRPr="00902B57">
                          <w:t>…</w:t>
                        </w:r>
                        <w:proofErr w:type="spellStart"/>
                        <w:r w:rsidRPr="00902B57">
                          <w:t>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n</w:t>
                        </w:r>
                        <w:proofErr w:type="spellEnd"/>
                        <w:proofErr w:type="gramEnd"/>
                        <w:r w:rsidRPr="00902B57">
                          <w:rPr>
                            <w:kern w:val="24"/>
                            <w:vertAlign w:val="subscript"/>
                          </w:rPr>
                          <w:t>+1</w:t>
                        </w:r>
                        <w:r w:rsidRPr="00902B57">
                          <w:t>/</w:t>
                        </w:r>
                        <w:proofErr w:type="spellStart"/>
                        <w:r w:rsidRPr="00902B57">
                          <w:t>t</w:t>
                        </w:r>
                        <w:r w:rsidRPr="00902B57">
                          <w:rPr>
                            <w:kern w:val="24"/>
                            <w:vertAlign w:val="subscript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v:shape id="Text Box 6" o:spid="_x0000_s1051" type="#_x0000_t202" style="position:absolute;left:1999;top:18335;width:19176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vzMMA&#10;AADaAAAADwAAAGRycy9kb3ducmV2LnhtbESPS2vCQBSF94L/YbhCdzqpQpQ0oxRB6KJQa7vJ7pq5&#10;zQQzd0JmzOPfO4VCl4fz+Dj5YbSN6KnztWMFz6sEBHHpdM2Vgu+v03IHwgdkjY1jUjCRh8N+Pssx&#10;027gT+ovoRJxhH2GCkwIbSalLw1Z9CvXEkfvx3UWQ5RdJXWHQxy3jVwnSSot1hwJBls6Gipvl7uN&#10;kKE4n/pNWt7ehw/jrttjgdtJqafF+PoCItAY/sN/7TetYAO/V+IN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ovzMMAAADaAAAADwAAAAAAAAAAAAAAAACYAgAAZHJzL2Rv&#10;d25yZXYueG1sUEsFBgAAAAAEAAQA9QAAAIgDAAAAAA==&#10;" filled="f" fillcolor="#99f" stroked="f" strokeweight="2pt">
                  <v:textbox style="mso-fit-shape-to-text:t" inset="1.72719mm,.86361mm,1.72719mm,.86361mm">
                    <w:txbxContent>
                      <w:p w:rsidR="0033227D" w:rsidRDefault="0033227D" w:rsidP="008A67F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902B57">
                          <w:rPr>
                            <w:color w:val="000000"/>
                          </w:rPr>
                          <w:t>2. Kategóriaképzés</w:t>
                        </w:r>
                        <w:r>
                          <w:rPr>
                            <w:color w:val="000000"/>
                          </w:rPr>
                          <w:t>,</w:t>
                        </w:r>
                      </w:p>
                      <w:p w:rsidR="0033227D" w:rsidRPr="00902B57" w:rsidRDefault="0033227D" w:rsidP="008A67F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sorszám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függvénnyel</w:t>
                        </w:r>
                      </w:p>
                    </w:txbxContent>
                  </v:textbox>
                </v:shape>
                <v:line id="Line 7" o:spid="_x0000_s1052" style="position:absolute;visibility:visible;mso-wrap-style:square" from="8883,6149" to="8883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zlcsIAAADbAAAADwAAAGRycy9kb3ducmV2LnhtbESPQWvCQBSE7wX/w/KE3urGQKVEVxFB&#10;SKE9VHvp7ZF9JtHs25B9rvHfu4VCj8PMfMOsNqPrVKQhtJ4NzGcZKOLK25ZrA9/H/csbqCDIFjvP&#10;ZOBOATbrydMKC+tv/EXxILVKEA4FGmhE+kLrUDXkMMx8T5y8kx8cSpJDre2AtwR3nc6zbKEdtpwW&#10;Guxp11B1OVydgZ9zfSwlf/1Y4Oc7SqQYqzIa8zwdt0tQQqP8h//apTWQz+H3S/oBe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zlcsIAAADbAAAADwAAAAAAAAAAAAAA&#10;AAChAgAAZHJzL2Rvd25yZXYueG1sUEsFBgAAAAAEAAQA+QAAAJADAAAAAA==&#10;" strokeweight="2pt">
                  <v:stroke endarrow="block"/>
                  <v:shadow color="#00007d"/>
                </v:line>
                <v:line id="Line 8" o:spid="_x0000_s1053" style="position:absolute;visibility:visible;mso-wrap-style:square" from="8883,15430" to="8883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57BcIAAADbAAAADwAAAGRycy9kb3ducmV2LnhtbESPQWvCQBSE7wX/w/IEb3VjQCnRVYog&#10;pNAeql68PbKvSdrs25B9rvHfu4VCj8PMfMNsdqPrVKQhtJ4NLOYZKOLK25ZrA+fT4fkFVBBki51n&#10;MnCnALvt5GmDhfU3/qR4lFolCIcCDTQifaF1qBpyGOa+J07elx8cSpJDre2AtwR3nc6zbKUdtpwW&#10;Guxp31D1c7w6A5fv+lRKvnxf4ccbSqQYqzIaM5uOr2tQQqP8h//apTWQ5/D7Jf0Av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57BcIAAADbAAAADwAAAAAAAAAAAAAA&#10;AAChAgAAZHJzL2Rvd25yZXYueG1sUEsFBgAAAAAEAAQA+QAAAJADAAAAAA==&#10;" strokeweight="2pt">
                  <v:stroke endarrow="block"/>
                  <v:shadow color="#00007d"/>
                </v:line>
                <v:line id="Line 9" o:spid="_x0000_s1054" style="position:absolute;visibility:visible;mso-wrap-style:square" from="11180,23270" to="15065,2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LensMAAADbAAAADwAAAGRycy9kb3ducmV2LnhtbESPQWvCQBSE7wX/w/KE3urGSKVEVxGh&#10;EKE9VHvx9sg+k2j2bci+rum/7xYKPQ4z8w2z3o6uU5GG0Ho2MJ9loIgrb1uuDXyeXp9eQAVBtth5&#10;JgPfFGC7mTyssbD+zh8Uj1KrBOFQoIFGpC+0DlVDDsPM98TJu/jBoSQ51NoOeE9w1+k8y5baYctp&#10;ocGe9g1Vt+OXM3C+1qdS8ue3Jb4fUCLFWJXRmMfpuFuBEhrlP/zXLq2BfAG/X9IP0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i3p7DAAAA2wAAAA8AAAAAAAAAAAAA&#10;AAAAoQIAAGRycy9kb3ducmV2LnhtbFBLBQYAAAAABAAEAPkAAACRAwAAAAA=&#10;" strokeweight="2pt">
                  <v:stroke endarrow="block"/>
                  <v:shadow color="#00007d"/>
                </v:line>
                <v:shape id="Text Box 10" o:spid="_x0000_s1055" type="#_x0000_t202" style="position:absolute;left:12260;top:27729;width:19677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GncIA&#10;AADbAAAADwAAAGRycy9kb3ducmV2LnhtbESPzYrCMBSF9wO+Q7iCuzEdFZWOUUQQXAg66sbdneZO&#10;U2xuShPb+vZGEGZ5OD8fZ7HqbCkaqn3hWMHXMAFBnDldcK7gct5+zkH4gKyxdEwKHuRhtex9LDDV&#10;ruUfak4hF3GEfYoKTAhVKqXPDFn0Q1cRR+/P1RZDlHUudY1tHLelHCXJVFosOBIMVrQxlN1Odxsh&#10;7fW4bcbT7LZvD8b9zjZXnD2UGvS79TeIQF34D7/bO61gNIH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AadwgAAANsAAAAPAAAAAAAAAAAAAAAAAJgCAABkcnMvZG93&#10;bnJldi54bWxQSwUGAAAAAAQABAD1AAAAhwMAAAAA&#10;" filled="f" fillcolor="#99f" stroked="f" strokeweight="2pt">
                  <v:textbox style="mso-fit-shape-to-text:t" inset="1.72719mm,.86361mm,1.72719mm,.86361mm">
                    <w:txbxContent>
                      <w:p w:rsidR="0033227D" w:rsidRPr="00902B57" w:rsidRDefault="0033227D" w:rsidP="008A67F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902B57">
                          <w:rPr>
                            <w:color w:val="000000"/>
                          </w:rPr>
                          <w:t>3. Mintázatba sorolás</w:t>
                        </w:r>
                      </w:p>
                      <w:p w:rsidR="0033227D" w:rsidRPr="00902B57" w:rsidRDefault="0033227D" w:rsidP="008A67F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902B57">
                          <w:rPr>
                            <w:color w:val="000000"/>
                          </w:rPr>
                          <w:t>(</w:t>
                        </w:r>
                        <w:r>
                          <w:rPr>
                            <w:color w:val="000000"/>
                          </w:rPr>
                          <w:t>legfeljebb 5</w:t>
                        </w:r>
                        <w:r w:rsidRPr="00902B57">
                          <w:rPr>
                            <w:color w:val="000000"/>
                          </w:rPr>
                          <w:t xml:space="preserve"> kategória)</w:t>
                        </w:r>
                      </w:p>
                    </w:txbxContent>
                  </v:textbox>
                </v:shape>
                <v:line id="Line 11" o:spid="_x0000_s1056" style="position:absolute;flip:y;visibility:visible;mso-wrap-style:square" from="26842,23907" to="28956,2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zTxsUAAADbAAAADwAAAGRycy9kb3ducmV2LnhtbESPQWvCQBSE70L/w/IKXqRuqhhKmlWK&#10;oEh60pbS4yP7moRm3ya7q4n/3i0IPQ4z8w2Tb0bTigs531hW8DxPQBCXVjdcKfj82D29gPABWWNr&#10;mRRcycNm/TDJMdN24CNdTqESEcI+QwV1CF0mpS9rMujntiOO3o91BkOUrpLa4RDhppWLJEmlwYbj&#10;Qo0dbWsqf09no6B/L1L31Y/bfb+cXf0s4aL4Xio1fRzfXkEEGsN/+N4+aAWLFfx9iT9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zTxsUAAADbAAAADwAAAAAAAAAA&#10;AAAAAAChAgAAZHJzL2Rvd25yZXYueG1sUEsFBgAAAAAEAAQA+QAAAJMDAAAAAA==&#10;" strokeweight="2pt">
                  <v:stroke endarrow="block"/>
                  <v:shadow color="#00007d"/>
                </v:line>
                <v:shape id="Text Box 12" o:spid="_x0000_s1057" type="#_x0000_t202" style="position:absolute;left:28956;top:17480;width:19111;height:7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o/8UA&#10;AADbAAAADwAAAGRycy9kb3ducmV2LnhtbESPQWvCQBSE74X+h+UVeqsbc4gSXaVWLBE8WBW9vmZf&#10;k7TZtyG7JvHfdwtCj8PMfMPMl4OpRUetqywrGI8iEMS51RUXCk7HzcsUhPPIGmvLpOBGDpaLx4c5&#10;ptr2/EHdwRciQNilqKD0vkmldHlJBt3INsTB+7KtQR9kW0jdYh/gppZxFCXSYMVhocSG3krKfw5X&#10;o2CVT/37ztrJ9/YyOcrPLF7vz7FSz0/D6wyEp8H/h+/tTCuIE/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aj/xQAAANsAAAAPAAAAAAAAAAAAAAAAAJgCAABkcnMv&#10;ZG93bnJldi54bWxQSwUGAAAAAAQABAD1AAAAigMAAAAA&#10;" filled="f" fillcolor="#99f" stroked="f" strokeweight="2pt">
                  <v:textbox inset="1.72719mm,.86361mm,1.72719mm,.86361mm">
                    <w:txbxContent>
                      <w:p w:rsidR="0033227D" w:rsidRPr="00902B57" w:rsidRDefault="0033227D" w:rsidP="000A5377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</w:rPr>
                        </w:pPr>
                        <w:r w:rsidRPr="00902B57">
                          <w:rPr>
                            <w:color w:val="000000"/>
                          </w:rPr>
                          <w:t>4. Az j+1, 2, 3, z mintára legjobban hasonlító minta első elemeinek tárolása z-ig</w:t>
                        </w:r>
                      </w:p>
                    </w:txbxContent>
                  </v:textbox>
                </v:shape>
                <v:line id="Line 13" o:spid="_x0000_s1058" style="position:absolute;flip:y;visibility:visible;mso-wrap-style:square" from="34575,12096" to="34575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LoKsQAAADbAAAADwAAAGRycy9kb3ducmV2LnhtbESPQWvCQBSE70L/w/IKvYhuVLCSuglF&#10;UEp60hbx+Mi+JqHZt8nuqvHfdwWhx2FmvmHW+WBacSHnG8sKZtMEBHFpdcOVgu+v7WQFwgdkja1l&#10;UnAjD3n2NFpjqu2V93Q5hEpECPsUFdQhdKmUvqzJoJ/ajjh6P9YZDFG6SmqH1wg3rZwnyVIabDgu&#10;1NjRpqby93A2CvrPYumO/bDZ9YvxzY8TLorTQqmX5+H9DUSgIfyHH+0PrWD+Cvcv8Q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gugqxAAAANsAAAAPAAAAAAAAAAAA&#10;AAAAAKECAABkcnMvZG93bnJldi54bWxQSwUGAAAAAAQABAD5AAAAkgMAAAAA&#10;" strokeweight="2pt">
                  <v:stroke endarrow="block"/>
                  <v:shadow color="#00007d"/>
                </v:line>
                <v:shape id="Text Box 16" o:spid="_x0000_s1059" type="#_x0000_t202" style="position:absolute;left:28212;top:2592;width:18147;height:7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MmMEA&#10;AADbAAAADwAAAGRycy9kb3ducmV2LnhtbERPS2vCQBC+C/0PyxR6000tqKSuIoLgQWh9XLxNs2M2&#10;mJ0N2W0S/33nUPD48b2X68HXqqM2VoENvE8yUMRFsBWXBi7n3XgBKiZki3VgMvCgCOvVy2iJuQ09&#10;H6k7pVJJCMccDbiUmlzrWDjyGCehIRbuFlqPSWBbattiL+G+1tMsm2mPFUuDw4a2jor76ddLSX/9&#10;3nUfs+J+6L9c+Jlvrzh/GPP2Omw+QSUa0lP8795bA1MZK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FDJjBAAAA2wAAAA8AAAAAAAAAAAAAAAAAmAIAAGRycy9kb3du&#10;cmV2LnhtbFBLBQYAAAAABAAEAPUAAACGAwAAAAA=&#10;" filled="f" fillcolor="#99f" stroked="f" strokeweight="2pt">
                  <v:textbox style="mso-fit-shape-to-text:t" inset="1.72719mm,.86361mm,1.72719mm,.86361mm">
                    <w:txbxContent>
                      <w:p w:rsidR="0033227D" w:rsidRPr="00902B57" w:rsidRDefault="0033227D" w:rsidP="000A5377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</w:rPr>
                        </w:pPr>
                        <w:r w:rsidRPr="00902B57">
                          <w:rPr>
                            <w:color w:val="000000"/>
                          </w:rPr>
                          <w:t>6. Az előrejelzés illetve a tényadatok kiértékelése kategória/lépcső találat, illetve iránytartás szerint</w:t>
                        </w:r>
                      </w:p>
                    </w:txbxContent>
                  </v:textbox>
                </v:shape>
                <v:line id="Line 17" o:spid="_x0000_s1060" style="position:absolute;flip:x;visibility:visible;mso-wrap-style:square" from="19706,3429" to="26842,3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HZw8QAAADbAAAADwAAAGRycy9kb3ducmV2LnhtbESPQWvCQBSE70L/w/IKvYhuVJCauglF&#10;UEp60hbx+Mi+JqHZt8nuqvHfdwWhx2FmvmHW+WBacSHnG8sKZtMEBHFpdcOVgu+v7eQVhA/IGlvL&#10;pOBGHvLsabTGVNsr7+lyCJWIEPYpKqhD6FIpfVmTQT+1HXH0fqwzGKJ0ldQOrxFuWjlPkqU02HBc&#10;qLGjTU3l7+FsFPSfxdId+2Gz6xfjmx8nXBSnhVIvz8P7G4hAQ/gPP9ofWsF8Bfcv8Q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UdnDxAAAANsAAAAPAAAAAAAAAAAA&#10;AAAAAKECAABkcnMvZG93bnJldi54bWxQSwUGAAAAAAQABAD5AAAAkgMAAAAA&#10;" strokeweight="2pt">
                  <v:stroke endarrow="block"/>
                  <v:shadow color="#00007d"/>
                </v:line>
                <v:oval id="Oval 18" o:spid="_x0000_s1061" style="position:absolute;left:1501;top:983;width:17810;height:5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3MJsAA&#10;AADbAAAADwAAAGRycy9kb3ducmV2LnhtbERPTWsCMRC9F/wPYQRvNatCKVujiCj0JKilxdt0M91d&#10;mkyWJF3X/vrOoeDx8b6X68E71VNMbWADs2kBirgKtuXawNt5//gMKmVkiy4wGbhRgvVq9LDE0oYr&#10;H6k/5VpJCKcSDTQ5d6XWqWrIY5qGjli4rxA9ZoGx1jbiVcK90/OieNIeW5aGBjvaNlR9n3689Kb3&#10;y879XmK3+GgPRT+fDZ/eGTMZD5sXUJmGfBf/u1+tgYWsly/y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3MJsAAAADbAAAADwAAAAAAAAAAAAAAAACYAgAAZHJzL2Rvd25y&#10;ZXYueG1sUEsFBgAAAAAEAAQA9QAAAIUDAAAAAA==&#10;" filled="f" fillcolor="#99f">
                  <v:shadow color="#00007d"/>
                  <v:textbox style="mso-fit-shape-to-text:t"/>
                </v:oval>
                <v:oval id="Oval 19" o:spid="_x0000_s1062" style="position:absolute;left:1999;top:8610;width:20099;height:6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Ri8UA&#10;AADbAAAADwAAAGRycy9kb3ducmV2LnhtbESPQWvCQBSE7wX/w/IEL6VuYotI6kZEEQQvrdWeH7uv&#10;SUj2bcyuJvbXdwuFHoeZ+YZZrgbbiBt1vnKsIJ0mIIi1MxUXCk4fu6cFCB+QDTaOScGdPKzy0cMS&#10;M+N6fqfbMRQiQthnqKAMoc2k9Loki37qWuLofbnOYoiyK6TpsI9w28hZksylxYrjQoktbUrS9fFq&#10;FejH70U6HK6nbX0560u/+3xrX6xSk/GwfgURaAj/4b/23ih4T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FGLxQAAANsAAAAPAAAAAAAAAAAAAAAAAJgCAABkcnMv&#10;ZG93bnJldi54bWxQSwUGAAAAAAQABAD1AAAAigMAAAAA&#10;" filled="f" fillcolor="#99f" strokeweight="2pt">
                  <v:shadow color="#00007d"/>
                  <v:textbox style="mso-fit-shape-to-text:t"/>
                </v:oval>
                <v:oval id="Oval 21" o:spid="_x0000_s1063" style="position:absolute;left:12040;top:25813;width:20652;height:78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/+YcQA&#10;AADbAAAADwAAAGRycy9kb3ducmV2LnhtbESPQWvCQBSE74X+h+UVvJS6MaJIdBWrtvWqKYi3R/aZ&#10;hGbfht3VpP++WxA8DjPzDbNY9aYRN3K+tqxgNExAEBdW11wq+M4/3mYgfEDW2FgmBb/kYbV8flpg&#10;pm3HB7odQykihH2GCqoQ2kxKX1Rk0A9tSxy9i3UGQ5SulNphF+GmkWmSTKXBmuNChS1tKip+jlej&#10;YDt6rdPte/f5dV7vx5RP3GmXO6UGL/16DiJQHx7he3uvFYxT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P/mHEAAAA2wAAAA8AAAAAAAAAAAAAAAAAmAIAAGRycy9k&#10;b3ducmV2LnhtbFBLBQYAAAAABAAEAPUAAACJAwAAAAA=&#10;" filled="f" fillcolor="#99f" strokeweight="2pt">
                  <v:shadow color="#00007d"/>
                  <v:textbox style="mso-fit-shape-to-text:t"/>
                </v:oval>
                <v:oval id="Oval 22" o:spid="_x0000_s1064" style="position:absolute;left:27241;top:14539;width:22085;height:11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5qZ8QA&#10;AADbAAAADwAAAGRycy9kb3ducmV2LnhtbESPT4vCMBTE7wt+h/CEvSyauopINYrsIgh7cf13fiTP&#10;tti81Cbaup/eLAgeh5n5DTNbtLYUN6p94VjBoJ+AINbOFJwp2O9WvQkIH5ANlo5JwZ08LOadtxmm&#10;xjX8S7dtyESEsE9RQR5ClUrpdU4Wfd9VxNE7udpiiLLOpKmxiXBbys8kGUuLBceFHCv6ykmft1er&#10;QH/8TQbtz3X/fb4c9KVZHTfVyCr13m2XUxCB2vAKP9tro2A4hP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uamfEAAAA2wAAAA8AAAAAAAAAAAAAAAAAmAIAAGRycy9k&#10;b3ducmV2LnhtbFBLBQYAAAAABAAEAPUAAACJAwAAAAA=&#10;" filled="f" fillcolor="#99f" strokeweight="2pt">
                  <v:shadow color="#00007d"/>
                  <v:textbox style="mso-fit-shape-to-text:t"/>
                </v:oval>
                <v:oval id="Oval 24" o:spid="_x0000_s1065" style="position:absolute;left:25526;top:477;width:22956;height:1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yE8UA&#10;AADbAAAADwAAAGRycy9kb3ducmV2LnhtbESPT4vCMBTE78J+h/AWvIim/mGRapRlF0Hwoq56fiRv&#10;22LzUpto6376jSB4HGbmN8x82dpS3Kj2hWMFw0ECglg7U3Cm4PCz6k9B+IBssHRMCu7kYbl468wx&#10;Na7hHd32IRMRwj5FBXkIVSql1zlZ9ANXEUfv19UWQ5R1Jk2NTYTbUo6S5ENaLDgu5FjRV076vL9a&#10;Bbr3Nx22m+vh+3w56kuzOm2riVWq+95+zkAEasMr/GyvjYLxBB5f4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/ITxQAAANsAAAAPAAAAAAAAAAAAAAAAAJgCAABkcnMv&#10;ZG93bnJldi54bWxQSwUGAAAAAAQABAD1AAAAigMAAAAA&#10;" filled="f" fillcolor="#99f" strokeweight="2pt">
                  <v:shadow color="#00007d"/>
                  <v:textbox style="mso-fit-shape-to-text:t"/>
                </v:oval>
                <v:oval id="Oval 25" o:spid="_x0000_s1066" style="position:absolute;left:1501;top:1071;width:18015;height:5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XiMUA&#10;AADbAAAADwAAAGRycy9kb3ducmV2LnhtbESPQWvCQBSE74L/YXmCF6kbrRZJ3Yi0CIVeqrU9P3af&#10;SUj2bcyuJu2v7xYEj8PMfMOsN72txZVaXzpWMJsmIIi1MyXnCo6fu4cVCB+QDdaOScEPedhkw8Ea&#10;U+M63tP1EHIRIexTVFCE0KRSel2QRT91DXH0Tq61GKJsc2la7CLc1nKeJE/SYslxocCGXgrS1eFi&#10;FejJ72rWv1+Or9X5S5+73fdHs7BKjUf99hlEoD7cw7f2m1HwuIT/L/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1eIxQAAANsAAAAPAAAAAAAAAAAAAAAAAJgCAABkcnMv&#10;ZG93bnJldi54bWxQSwUGAAAAAAQABAD1AAAAigMAAAAA&#10;" filled="f" fillcolor="#99f" strokeweight="2pt">
                  <v:shadow color="#00007d"/>
                  <v:textbox style="mso-fit-shape-to-text:t"/>
                </v:oval>
                <v:oval id="Oval 26" o:spid="_x0000_s1067" style="position:absolute;left:2392;top:17906;width:18882;height:52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nJ/8UA&#10;AADbAAAADwAAAGRycy9kb3ducmV2LnhtbESPQWvCQBSE70L/w/IKvYhurBIkukppEQq9qLWeH7vP&#10;JJh9G7OrSf31riB4HGbmG2a+7GwlLtT40rGC0TABQaydKTlXsPtdDaYgfEA2WDkmBf/kYbl46c0x&#10;M67lDV22IRcRwj5DBUUIdSal1wVZ9ENXE0fv4BqLIcoml6bBNsJtJd+TJJUWS44LBdb0WZA+bs9W&#10;ge5fp6Pu57z7Op7+9Kld7df1xCr19tp9zEAE6sIz/Gh/GwXj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cn/xQAAANsAAAAPAAAAAAAAAAAAAAAAAJgCAABkcnMv&#10;ZG93bnJldi54bWxQSwUGAAAAAAQABAD1AAAAigMAAAAA&#10;" filled="f" fillcolor="#99f" strokeweight="2pt">
                  <v:shadow color="#00007d"/>
                  <v:textbox style="mso-fit-shape-to-text:t"/>
                </v:oval>
                <w10:anchorlock/>
              </v:group>
            </w:pict>
          </mc:Fallback>
        </mc:AlternateContent>
      </w:r>
    </w:p>
    <w:p w:rsidR="008A67FB" w:rsidRDefault="000852DC" w:rsidP="008A67FB">
      <w:pPr>
        <w:pStyle w:val="Kpalrs"/>
        <w:spacing w:before="120" w:after="120"/>
        <w:jc w:val="center"/>
        <w:rPr>
          <w:b/>
          <w:i w:val="0"/>
        </w:rPr>
      </w:pPr>
      <w:r>
        <w:rPr>
          <w:b/>
          <w:i w:val="0"/>
        </w:rPr>
        <w:t>4</w:t>
      </w:r>
      <w:r w:rsidR="008A67FB" w:rsidRPr="00902B57">
        <w:rPr>
          <w:b/>
          <w:i w:val="0"/>
        </w:rPr>
        <w:t>. ábra Hasonlóságkereső mo</w:t>
      </w:r>
      <w:r w:rsidR="008A67FB">
        <w:rPr>
          <w:b/>
          <w:i w:val="0"/>
        </w:rPr>
        <w:t>dell v1.1 működési áttekintő ábrája</w:t>
      </w:r>
    </w:p>
    <w:p w:rsidR="008A67FB" w:rsidRPr="00902B57" w:rsidRDefault="008A67FB" w:rsidP="008A67FB">
      <w:pPr>
        <w:pStyle w:val="Kpalrs"/>
        <w:spacing w:after="0"/>
        <w:jc w:val="center"/>
        <w:rPr>
          <w:b/>
          <w:i w:val="0"/>
        </w:rPr>
      </w:pPr>
      <w:r>
        <w:rPr>
          <w:b/>
          <w:i w:val="0"/>
        </w:rPr>
        <w:t>F</w:t>
      </w:r>
      <w:r w:rsidRPr="00902B57">
        <w:rPr>
          <w:b/>
          <w:i w:val="0"/>
        </w:rPr>
        <w:t>orrás: saját munka</w:t>
      </w:r>
    </w:p>
    <w:p w:rsidR="00783C5C" w:rsidRDefault="00783C5C" w:rsidP="00232A0F">
      <w:pPr>
        <w:autoSpaceDE w:val="0"/>
        <w:autoSpaceDN w:val="0"/>
        <w:adjustRightInd w:val="0"/>
        <w:jc w:val="both"/>
      </w:pPr>
    </w:p>
    <w:p w:rsidR="008B5B2F" w:rsidRPr="008B5B2F" w:rsidRDefault="008B5B2F" w:rsidP="00232A0F">
      <w:pPr>
        <w:autoSpaceDE w:val="0"/>
        <w:autoSpaceDN w:val="0"/>
        <w:adjustRightInd w:val="0"/>
        <w:jc w:val="both"/>
        <w:rPr>
          <w:b/>
        </w:rPr>
      </w:pPr>
      <w:r w:rsidRPr="008B5B2F">
        <w:rPr>
          <w:b/>
        </w:rPr>
        <w:t>3. Kutatási eredmények</w:t>
      </w:r>
    </w:p>
    <w:p w:rsidR="008B5B2F" w:rsidRDefault="008B5B2F" w:rsidP="00232A0F">
      <w:pPr>
        <w:autoSpaceDE w:val="0"/>
        <w:autoSpaceDN w:val="0"/>
        <w:adjustRightInd w:val="0"/>
        <w:jc w:val="both"/>
      </w:pPr>
    </w:p>
    <w:p w:rsidR="007F15E7" w:rsidRDefault="00DD69EC" w:rsidP="00BA6A03">
      <w:pPr>
        <w:autoSpaceDE w:val="0"/>
        <w:autoSpaceDN w:val="0"/>
        <w:adjustRightInd w:val="0"/>
        <w:jc w:val="both"/>
      </w:pPr>
      <w:r>
        <w:t>Az eredmények kategóriatalálat</w:t>
      </w:r>
      <w:r w:rsidR="0076374D">
        <w:t>/eltérés</w:t>
      </w:r>
      <w:r w:rsidR="00871344">
        <w:rPr>
          <w:rStyle w:val="Lbjegyzet-hivatkozs"/>
        </w:rPr>
        <w:footnoteReference w:id="8"/>
      </w:r>
      <w:r>
        <w:t>, illetve iránytartás alapján kerültek értékelésre.</w:t>
      </w:r>
      <w:r w:rsidR="0076374D">
        <w:t xml:space="preserve"> Utóbbi azt méri, hogy a ténylegesen bekövetkezett csökkenést, vagy növekedést, sikerült-e a modellnek előre</w:t>
      </w:r>
      <w:r w:rsidR="00055295">
        <w:t xml:space="preserve"> </w:t>
      </w:r>
      <w:r w:rsidR="0076374D">
        <w:t>jeleznie. Ez független a numerikus találattól, csak az irány</w:t>
      </w:r>
      <w:r w:rsidR="00DE4897">
        <w:t xml:space="preserve"> helyességét</w:t>
      </w:r>
      <w:r w:rsidR="0076374D">
        <w:t xml:space="preserve"> méri.</w:t>
      </w:r>
      <w:r>
        <w:t xml:space="preserve"> </w:t>
      </w:r>
      <w:r w:rsidR="00BA6A03">
        <w:t>A módszertan alakítása közben, olyan idősoros tesztekre került sor, amelyek az univerzalitás jegyében, minél különbözőbb adatkörnyezetet fednek le.</w:t>
      </w:r>
      <w:r>
        <w:t xml:space="preserve"> </w:t>
      </w:r>
      <w:r w:rsidR="00BA6A03">
        <w:t>Ezek például a már korábban is említett</w:t>
      </w:r>
      <w:r w:rsidR="007F15E7">
        <w:t>:</w:t>
      </w:r>
    </w:p>
    <w:p w:rsidR="007F15E7" w:rsidRDefault="007F15E7" w:rsidP="001D71F3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Tőzsdei értékpapírok (nyersolaj</w:t>
      </w:r>
      <w:r w:rsidR="001D71F3">
        <w:t xml:space="preserve"> (</w:t>
      </w:r>
      <w:proofErr w:type="spellStart"/>
      <w:r w:rsidR="001D71F3">
        <w:t>Crude</w:t>
      </w:r>
      <w:proofErr w:type="spellEnd"/>
      <w:r w:rsidR="001D71F3">
        <w:t xml:space="preserve"> </w:t>
      </w:r>
      <w:proofErr w:type="spellStart"/>
      <w:r w:rsidR="001D71F3">
        <w:t>Futures</w:t>
      </w:r>
      <w:proofErr w:type="spellEnd"/>
      <w:r w:rsidR="001D71F3">
        <w:t>)</w:t>
      </w:r>
      <w:r>
        <w:t>, Apple, E-mini S&amp;P)</w:t>
      </w:r>
    </w:p>
    <w:p w:rsidR="007F15E7" w:rsidRDefault="007F15E7" w:rsidP="001D71F3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Vállalati értékesítési adatok (egy termék, egy hétre vonatkozó várható eladási darabszáma),</w:t>
      </w:r>
    </w:p>
    <w:p w:rsidR="007F15E7" w:rsidRDefault="007F15E7" w:rsidP="001D71F3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NASDAQ percre lebontott</w:t>
      </w:r>
      <w:r w:rsidR="001D71F3">
        <w:t xml:space="preserve"> idősora és előrejelzése</w:t>
      </w:r>
    </w:p>
    <w:p w:rsidR="001D71F3" w:rsidRDefault="001D71F3" w:rsidP="001D71F3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Mezőgazdasági termények várható felvásárlási ára (titoktartási szerződés miatt nem publikálható)</w:t>
      </w:r>
    </w:p>
    <w:p w:rsidR="008B5B2F" w:rsidRDefault="008B5B2F" w:rsidP="00232A0F">
      <w:pPr>
        <w:autoSpaceDE w:val="0"/>
        <w:autoSpaceDN w:val="0"/>
        <w:adjustRightInd w:val="0"/>
        <w:jc w:val="both"/>
      </w:pPr>
    </w:p>
    <w:p w:rsidR="004C2FC9" w:rsidRDefault="00DD69EC" w:rsidP="00232A0F">
      <w:pPr>
        <w:autoSpaceDE w:val="0"/>
        <w:autoSpaceDN w:val="0"/>
        <w:adjustRightInd w:val="0"/>
        <w:jc w:val="both"/>
      </w:pPr>
      <w:r>
        <w:t>Először ugyanazon a nyersolaj idősoron történt tesztelés, amelyen a klasszikus modell iránytartás szempontjából nem teljesítette a tőle elvártakat. A bemutatott eredmények a nyersolaj heti bontású, nyitóértékeire vonatkoznak. 184 hét felhasználásával (</w:t>
      </w:r>
      <w:r w:rsidRPr="00DD69EC">
        <w:t>2010.06.25-2013.12.27</w:t>
      </w:r>
      <w:r>
        <w:t>),</w:t>
      </w:r>
      <w:r w:rsidR="004C2FC9">
        <w:t xml:space="preserve"> 7 kategóriát képezve,</w:t>
      </w:r>
      <w:r>
        <w:t xml:space="preserve"> a következő 25 hét előrejelzésénél (</w:t>
      </w:r>
      <w:r w:rsidRPr="00DD69EC">
        <w:t>2014.01.03-2014.06.20</w:t>
      </w:r>
      <w:r w:rsidR="00445611">
        <w:t xml:space="preserve">). </w:t>
      </w:r>
      <w:r w:rsidR="007F71D1">
        <w:t>Az eredményeket a 2</w:t>
      </w:r>
      <w:r w:rsidR="004C2FC9">
        <w:t>. táblázat foglalja össze.</w:t>
      </w:r>
    </w:p>
    <w:p w:rsidR="004C2FC9" w:rsidRDefault="004C2FC9" w:rsidP="00232A0F">
      <w:pPr>
        <w:autoSpaceDE w:val="0"/>
        <w:autoSpaceDN w:val="0"/>
        <w:adjustRightInd w:val="0"/>
        <w:jc w:val="both"/>
      </w:pPr>
    </w:p>
    <w:p w:rsidR="004C2FC9" w:rsidRPr="00EE324D" w:rsidRDefault="00D7622B" w:rsidP="00892C4A">
      <w:pPr>
        <w:pStyle w:val="Kpalrs"/>
        <w:keepNext/>
        <w:ind w:left="737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lastRenderedPageBreak/>
        <w:fldChar w:fldCharType="begin"/>
      </w:r>
      <w:r w:rsidRPr="00EE324D">
        <w:rPr>
          <w:b/>
          <w:i w:val="0"/>
          <w:color w:val="auto"/>
        </w:rPr>
        <w:instrText xml:space="preserve"> SEQ táblázat \* ARABIC </w:instrText>
      </w:r>
      <w:r w:rsidRPr="00EE324D">
        <w:rPr>
          <w:b/>
          <w:i w:val="0"/>
          <w:color w:val="auto"/>
        </w:rPr>
        <w:fldChar w:fldCharType="separate"/>
      </w:r>
      <w:r w:rsidRPr="00EE324D">
        <w:rPr>
          <w:b/>
          <w:i w:val="0"/>
          <w:noProof/>
          <w:color w:val="auto"/>
        </w:rPr>
        <w:t>2</w:t>
      </w:r>
      <w:r w:rsidRPr="00EE324D">
        <w:rPr>
          <w:b/>
          <w:i w:val="0"/>
          <w:color w:val="auto"/>
        </w:rPr>
        <w:fldChar w:fldCharType="end"/>
      </w:r>
      <w:r w:rsidR="004C2FC9" w:rsidRPr="00EE324D">
        <w:rPr>
          <w:b/>
          <w:i w:val="0"/>
          <w:color w:val="auto"/>
        </w:rPr>
        <w:t>. táblázat Hasonlóságkereső modell eredményei nyersolaj nyitó kereskedési árára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8"/>
        <w:gridCol w:w="851"/>
        <w:gridCol w:w="860"/>
        <w:gridCol w:w="740"/>
        <w:gridCol w:w="740"/>
        <w:gridCol w:w="740"/>
        <w:gridCol w:w="740"/>
        <w:gridCol w:w="740"/>
      </w:tblGrid>
      <w:tr w:rsidR="00EE324D" w:rsidRPr="00EE324D" w:rsidTr="00DE4897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Kategória/sáveltérés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6</w:t>
            </w:r>
          </w:p>
        </w:tc>
      </w:tr>
      <w:tr w:rsidR="00EE324D" w:rsidRPr="00EE324D" w:rsidTr="00DE4897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25 esetből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0</w:t>
            </w:r>
          </w:p>
        </w:tc>
      </w:tr>
      <w:tr w:rsidR="00EE324D" w:rsidRPr="00EE324D" w:rsidTr="00DE4897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100,00%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44,00%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44,00%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4,00%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4,00%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4,00%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0,00%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0,00%</w:t>
            </w:r>
          </w:p>
        </w:tc>
      </w:tr>
      <w:tr w:rsidR="00EE324D" w:rsidRPr="00EE324D" w:rsidTr="00DE4897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Iránytalálat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18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</w:tr>
      <w:tr w:rsidR="00EE324D" w:rsidRPr="00EE324D" w:rsidTr="00DE4897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Iránytartás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72,00%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C9" w:rsidRPr="00EE324D" w:rsidRDefault="004C2FC9" w:rsidP="00892C4A">
            <w:pPr>
              <w:keepNext/>
              <w:autoSpaceDE w:val="0"/>
              <w:autoSpaceDN w:val="0"/>
              <w:adjustRightInd w:val="0"/>
              <w:jc w:val="both"/>
            </w:pPr>
          </w:p>
        </w:tc>
      </w:tr>
    </w:tbl>
    <w:p w:rsidR="004C2FC9" w:rsidRPr="00EE324D" w:rsidRDefault="004C2FC9" w:rsidP="00892C4A">
      <w:pPr>
        <w:pStyle w:val="Kpalrs"/>
        <w:keepNext/>
        <w:ind w:left="737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Forrás: saját munka</w:t>
      </w:r>
    </w:p>
    <w:p w:rsidR="00D7622B" w:rsidRPr="00EE324D" w:rsidRDefault="00D7622B" w:rsidP="00D7622B">
      <w:pPr>
        <w:pStyle w:val="Kpalrs"/>
        <w:keepNext/>
        <w:jc w:val="center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fldChar w:fldCharType="begin"/>
      </w:r>
      <w:r w:rsidRPr="00EE324D">
        <w:rPr>
          <w:b/>
          <w:i w:val="0"/>
          <w:color w:val="auto"/>
        </w:rPr>
        <w:instrText xml:space="preserve"> SEQ táblázat \* ARABIC </w:instrText>
      </w:r>
      <w:r w:rsidRPr="00EE324D">
        <w:rPr>
          <w:b/>
          <w:i w:val="0"/>
          <w:color w:val="auto"/>
        </w:rPr>
        <w:fldChar w:fldCharType="separate"/>
      </w:r>
      <w:r w:rsidRPr="00EE324D">
        <w:rPr>
          <w:b/>
          <w:i w:val="0"/>
          <w:noProof/>
          <w:color w:val="auto"/>
        </w:rPr>
        <w:t>3</w:t>
      </w:r>
      <w:r w:rsidRPr="00EE324D">
        <w:rPr>
          <w:b/>
          <w:i w:val="0"/>
          <w:color w:val="auto"/>
        </w:rPr>
        <w:fldChar w:fldCharType="end"/>
      </w:r>
      <w:r w:rsidRPr="00EE324D">
        <w:rPr>
          <w:b/>
          <w:i w:val="0"/>
          <w:color w:val="auto"/>
        </w:rPr>
        <w:t>. táblázat Kategóriák darabszáma</w:t>
      </w:r>
      <w:r w:rsidRPr="00EE324D">
        <w:rPr>
          <w:b/>
          <w:i w:val="0"/>
          <w:noProof/>
          <w:color w:val="auto"/>
        </w:rPr>
        <w:t xml:space="preserve"> nyersolaj nyitóértékes tesztjén</w:t>
      </w:r>
    </w:p>
    <w:tbl>
      <w:tblPr>
        <w:tblW w:w="3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140"/>
        <w:gridCol w:w="1140"/>
      </w:tblGrid>
      <w:tr w:rsidR="00EE324D" w:rsidRPr="00E67858" w:rsidTr="0075595B">
        <w:trPr>
          <w:trHeight w:val="33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rPr>
                <w:b/>
                <w:bCs/>
                <w:kern w:val="0"/>
                <w:sz w:val="22"/>
                <w:szCs w:val="22"/>
              </w:rPr>
            </w:pPr>
            <w:r w:rsidRPr="00E67858">
              <w:rPr>
                <w:b/>
                <w:bCs/>
                <w:kern w:val="0"/>
                <w:sz w:val="22"/>
                <w:szCs w:val="22"/>
              </w:rPr>
              <w:t>kategóriák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rPr>
                <w:b/>
                <w:bCs/>
                <w:kern w:val="0"/>
                <w:sz w:val="22"/>
                <w:szCs w:val="22"/>
              </w:rPr>
            </w:pPr>
            <w:r w:rsidRPr="00E67858">
              <w:rPr>
                <w:b/>
                <w:bCs/>
                <w:kern w:val="0"/>
                <w:sz w:val="22"/>
                <w:szCs w:val="22"/>
              </w:rPr>
              <w:t>tény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rPr>
                <w:b/>
                <w:bCs/>
                <w:kern w:val="0"/>
                <w:sz w:val="22"/>
                <w:szCs w:val="22"/>
              </w:rPr>
            </w:pPr>
            <w:r w:rsidRPr="00E67858">
              <w:rPr>
                <w:b/>
                <w:bCs/>
                <w:kern w:val="0"/>
                <w:sz w:val="22"/>
                <w:szCs w:val="22"/>
              </w:rPr>
              <w:t>becslés</w:t>
            </w:r>
          </w:p>
        </w:tc>
      </w:tr>
      <w:tr w:rsidR="00EE324D" w:rsidRPr="00E67858" w:rsidTr="0075595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E67858">
              <w:rPr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0</w:t>
            </w:r>
          </w:p>
        </w:tc>
      </w:tr>
      <w:tr w:rsidR="00EE324D" w:rsidRPr="00E67858" w:rsidTr="0075595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E67858">
              <w:rPr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0</w:t>
            </w:r>
          </w:p>
        </w:tc>
      </w:tr>
      <w:tr w:rsidR="00EE324D" w:rsidRPr="00E67858" w:rsidTr="0075595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E67858">
              <w:rPr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0</w:t>
            </w:r>
          </w:p>
        </w:tc>
      </w:tr>
      <w:tr w:rsidR="00EE324D" w:rsidRPr="00E67858" w:rsidTr="0075595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E67858">
              <w:rPr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8</w:t>
            </w:r>
          </w:p>
        </w:tc>
      </w:tr>
      <w:tr w:rsidR="00EE324D" w:rsidRPr="00E67858" w:rsidTr="0075595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E67858">
              <w:rPr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14</w:t>
            </w:r>
          </w:p>
        </w:tc>
      </w:tr>
      <w:tr w:rsidR="00EE324D" w:rsidRPr="00E67858" w:rsidTr="0075595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E67858">
              <w:rPr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0</w:t>
            </w:r>
          </w:p>
        </w:tc>
      </w:tr>
      <w:tr w:rsidR="00EE324D" w:rsidRPr="00E67858" w:rsidTr="0075595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E67858">
              <w:rPr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75595B">
            <w:pPr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E67858" w:rsidRDefault="00D7622B" w:rsidP="00D7622B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3</w:t>
            </w:r>
          </w:p>
        </w:tc>
      </w:tr>
    </w:tbl>
    <w:p w:rsidR="00E67858" w:rsidRPr="00EE324D" w:rsidRDefault="00D7622B" w:rsidP="00D7622B">
      <w:pPr>
        <w:pStyle w:val="Kpalrs"/>
        <w:ind w:left="2721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Forrás: saját munka</w:t>
      </w:r>
    </w:p>
    <w:p w:rsidR="00DD69EC" w:rsidRDefault="005E6213" w:rsidP="00232A0F">
      <w:pPr>
        <w:autoSpaceDE w:val="0"/>
        <w:autoSpaceDN w:val="0"/>
        <w:adjustRightInd w:val="0"/>
        <w:jc w:val="both"/>
      </w:pPr>
      <w:r>
        <w:t>Az eredmények közül kimagasló a 11 db telitalálat, illetve a klasszikus modellhez (41,67%) képesti 72%-os iránytartási érték.</w:t>
      </w:r>
    </w:p>
    <w:p w:rsidR="005E6213" w:rsidRDefault="005E6213" w:rsidP="00232A0F">
      <w:pPr>
        <w:autoSpaceDE w:val="0"/>
        <w:autoSpaceDN w:val="0"/>
        <w:adjustRightInd w:val="0"/>
        <w:jc w:val="both"/>
      </w:pPr>
    </w:p>
    <w:p w:rsidR="0060316E" w:rsidRDefault="005E6213" w:rsidP="0060316E">
      <w:pPr>
        <w:autoSpaceDE w:val="0"/>
        <w:autoSpaceDN w:val="0"/>
        <w:adjustRightInd w:val="0"/>
        <w:jc w:val="both"/>
      </w:pPr>
      <w:r>
        <w:t>A következő teszt alatt Apple részvények (AAPL) szintén heti nyitó értékeinek előrejelzése következett. A bemeneti és kimeneti paraméterek nem változtak, vagyis 184 hét felhasználásával (</w:t>
      </w:r>
      <w:r w:rsidRPr="00DD69EC">
        <w:t>2010.06.25-2013.12.27</w:t>
      </w:r>
      <w:r>
        <w:t xml:space="preserve">), 7 kategóriát képezve, a </w:t>
      </w:r>
      <w:r w:rsidR="0060316E">
        <w:t>következő 25 hét előrejelzése</w:t>
      </w:r>
      <w:r>
        <w:t xml:space="preserve"> (</w:t>
      </w:r>
      <w:r w:rsidRPr="00DD69EC">
        <w:t>2014.01.03-2014.06.20</w:t>
      </w:r>
      <w:r>
        <w:t>)</w:t>
      </w:r>
      <w:r w:rsidR="00445611">
        <w:t xml:space="preserve"> volt a cél. </w:t>
      </w:r>
      <w:r w:rsidR="0060316E">
        <w:t>Az eredményeket a 4. táblázat foglalja össze.</w:t>
      </w:r>
    </w:p>
    <w:p w:rsidR="0060316E" w:rsidRDefault="0060316E" w:rsidP="0060316E">
      <w:pPr>
        <w:autoSpaceDE w:val="0"/>
        <w:autoSpaceDN w:val="0"/>
        <w:adjustRightInd w:val="0"/>
        <w:jc w:val="both"/>
      </w:pPr>
    </w:p>
    <w:p w:rsidR="0060316E" w:rsidRPr="00EE324D" w:rsidRDefault="0060316E" w:rsidP="0060316E">
      <w:pPr>
        <w:pStyle w:val="Kpalrs"/>
        <w:keepNext/>
        <w:numPr>
          <w:ilvl w:val="0"/>
          <w:numId w:val="12"/>
        </w:numPr>
        <w:ind w:left="643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 xml:space="preserve">4. táblázat Hasonlóságkereső modell eredményei </w:t>
      </w:r>
      <w:r w:rsidR="00227934" w:rsidRPr="00EE324D">
        <w:rPr>
          <w:b/>
          <w:i w:val="0"/>
          <w:color w:val="auto"/>
        </w:rPr>
        <w:t>AAPL</w:t>
      </w:r>
      <w:r w:rsidRPr="00EE324D">
        <w:rPr>
          <w:b/>
          <w:i w:val="0"/>
          <w:color w:val="auto"/>
        </w:rPr>
        <w:t xml:space="preserve"> nyitó kereskedési árára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8"/>
        <w:gridCol w:w="851"/>
        <w:gridCol w:w="860"/>
        <w:gridCol w:w="860"/>
        <w:gridCol w:w="740"/>
        <w:gridCol w:w="740"/>
        <w:gridCol w:w="740"/>
        <w:gridCol w:w="740"/>
      </w:tblGrid>
      <w:tr w:rsidR="00EE324D" w:rsidRPr="00EE324D" w:rsidTr="0060316E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Kategória/sáveltérés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6</w:t>
            </w:r>
          </w:p>
        </w:tc>
      </w:tr>
      <w:tr w:rsidR="00EE324D" w:rsidRPr="00EE324D" w:rsidTr="0060316E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25 esetből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0</w:t>
            </w:r>
          </w:p>
        </w:tc>
      </w:tr>
      <w:tr w:rsidR="00EE324D" w:rsidRPr="00EE324D" w:rsidTr="0060316E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100,00%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28,00%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44,00%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20,00%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8,00%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0,00%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0,00%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0,00%</w:t>
            </w:r>
          </w:p>
        </w:tc>
      </w:tr>
      <w:tr w:rsidR="00EE324D" w:rsidRPr="00EE324D" w:rsidTr="0060316E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Iránytalálat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18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</w:p>
        </w:tc>
      </w:tr>
      <w:tr w:rsidR="00EE324D" w:rsidRPr="00EE324D" w:rsidTr="0060316E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Iránytartás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  <w:r w:rsidRPr="00EE324D">
              <w:t>72,00%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60316E">
            <w:pPr>
              <w:keepNext/>
              <w:autoSpaceDE w:val="0"/>
              <w:autoSpaceDN w:val="0"/>
              <w:adjustRightInd w:val="0"/>
              <w:jc w:val="both"/>
            </w:pPr>
          </w:p>
        </w:tc>
      </w:tr>
    </w:tbl>
    <w:p w:rsidR="0060316E" w:rsidRPr="00EE324D" w:rsidRDefault="0060316E" w:rsidP="0060316E">
      <w:pPr>
        <w:pStyle w:val="Kpalrs"/>
        <w:numPr>
          <w:ilvl w:val="0"/>
          <w:numId w:val="12"/>
        </w:numPr>
        <w:ind w:left="643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Forrás: saját munka</w:t>
      </w:r>
    </w:p>
    <w:p w:rsidR="00D7622B" w:rsidRPr="00EE324D" w:rsidRDefault="00D7622B" w:rsidP="00D7622B">
      <w:pPr>
        <w:pStyle w:val="Kpalrs"/>
        <w:keepNext/>
        <w:jc w:val="center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lastRenderedPageBreak/>
        <w:t>5</w:t>
      </w:r>
      <w:r w:rsidR="00E67858" w:rsidRPr="00EE324D">
        <w:rPr>
          <w:b/>
          <w:i w:val="0"/>
          <w:color w:val="auto"/>
        </w:rPr>
        <w:t xml:space="preserve">. táblázat Kategóriák darabszáma az </w:t>
      </w:r>
      <w:proofErr w:type="spellStart"/>
      <w:r w:rsidR="00E67858" w:rsidRPr="00EE324D">
        <w:rPr>
          <w:b/>
          <w:i w:val="0"/>
          <w:color w:val="auto"/>
        </w:rPr>
        <w:t>AAPL-teszt</w:t>
      </w:r>
      <w:proofErr w:type="spellEnd"/>
      <w:r w:rsidR="00E67858" w:rsidRPr="00EE324D">
        <w:rPr>
          <w:b/>
          <w:i w:val="0"/>
          <w:color w:val="auto"/>
        </w:rPr>
        <w:t xml:space="preserve"> alatt</w:t>
      </w:r>
    </w:p>
    <w:tbl>
      <w:tblPr>
        <w:tblW w:w="3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140"/>
        <w:gridCol w:w="1140"/>
      </w:tblGrid>
      <w:tr w:rsidR="00EE324D" w:rsidRPr="00D7622B" w:rsidTr="00D7622B">
        <w:trPr>
          <w:trHeight w:val="33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kategóriák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tény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becslés</w:t>
            </w:r>
          </w:p>
        </w:tc>
      </w:tr>
      <w:tr w:rsidR="00EE324D" w:rsidRPr="00D7622B" w:rsidTr="00D7622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E324D" w:rsidRPr="00D7622B" w:rsidTr="00D7622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E324D" w:rsidRPr="00D7622B" w:rsidTr="00D7622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E324D" w:rsidRPr="00D7622B" w:rsidTr="00D7622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8</w:t>
            </w:r>
          </w:p>
        </w:tc>
      </w:tr>
      <w:tr w:rsidR="00EE324D" w:rsidRPr="00D7622B" w:rsidTr="00D7622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14</w:t>
            </w:r>
          </w:p>
        </w:tc>
      </w:tr>
      <w:tr w:rsidR="00EE324D" w:rsidRPr="00D7622B" w:rsidTr="00D7622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E324D" w:rsidRPr="00D7622B" w:rsidTr="00D7622B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3</w:t>
            </w:r>
          </w:p>
        </w:tc>
      </w:tr>
    </w:tbl>
    <w:p w:rsidR="00E67858" w:rsidRPr="00EE324D" w:rsidRDefault="00E67858" w:rsidP="00D7622B">
      <w:pPr>
        <w:pStyle w:val="Kpalrs"/>
        <w:keepNext/>
        <w:ind w:left="2721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Forrás: saját munka</w:t>
      </w:r>
    </w:p>
    <w:p w:rsidR="00E67858" w:rsidRDefault="00E67858" w:rsidP="00232A0F">
      <w:pPr>
        <w:autoSpaceDE w:val="0"/>
        <w:autoSpaceDN w:val="0"/>
        <w:adjustRightInd w:val="0"/>
        <w:jc w:val="both"/>
      </w:pPr>
    </w:p>
    <w:p w:rsidR="005E6213" w:rsidRDefault="0060316E" w:rsidP="00232A0F">
      <w:pPr>
        <w:autoSpaceDE w:val="0"/>
        <w:autoSpaceDN w:val="0"/>
        <w:adjustRightInd w:val="0"/>
        <w:jc w:val="both"/>
      </w:pPr>
      <w:r>
        <w:t>Ahogy az látható, az előző teszt alatti magas telitalálat arány lecsökkent (28%-ra), ami várható volt. Ellenben az iránytartás továbbra is 72%-is szintet ért el.</w:t>
      </w:r>
    </w:p>
    <w:p w:rsidR="0060316E" w:rsidRDefault="0060316E" w:rsidP="00232A0F">
      <w:pPr>
        <w:autoSpaceDE w:val="0"/>
        <w:autoSpaceDN w:val="0"/>
        <w:adjustRightInd w:val="0"/>
        <w:jc w:val="both"/>
      </w:pPr>
    </w:p>
    <w:p w:rsidR="0060316E" w:rsidRDefault="0060316E" w:rsidP="0060316E">
      <w:pPr>
        <w:autoSpaceDE w:val="0"/>
        <w:autoSpaceDN w:val="0"/>
        <w:adjustRightInd w:val="0"/>
        <w:jc w:val="both"/>
      </w:pPr>
      <w:r>
        <w:t xml:space="preserve">A következő NASDAQ teszt alatt változott az idősor felbontása. Heti bontás helyett percekre lebontott idősor alapján került a </w:t>
      </w:r>
      <w:proofErr w:type="gramStart"/>
      <w:r>
        <w:t>modell tesztelésre</w:t>
      </w:r>
      <w:proofErr w:type="gramEnd"/>
      <w:r>
        <w:t>, továbbá az előrejelzendő időtáv 25 egységről 194 egységre változott (véletlenszerű kiválasztás alapján). A modell továbbra is 7 kategóriával működött.</w:t>
      </w:r>
      <w:r w:rsidRPr="0060316E">
        <w:t xml:space="preserve"> </w:t>
      </w:r>
      <w:r w:rsidR="00C912E9">
        <w:t>Az eredményeket az 5</w:t>
      </w:r>
      <w:r>
        <w:t>. táblázat foglalja össze.</w:t>
      </w:r>
    </w:p>
    <w:p w:rsidR="0060316E" w:rsidRDefault="0060316E" w:rsidP="0060316E">
      <w:pPr>
        <w:autoSpaceDE w:val="0"/>
        <w:autoSpaceDN w:val="0"/>
        <w:adjustRightInd w:val="0"/>
        <w:jc w:val="both"/>
      </w:pPr>
    </w:p>
    <w:p w:rsidR="0060316E" w:rsidRPr="00EE324D" w:rsidRDefault="00D7622B" w:rsidP="00E67858">
      <w:pPr>
        <w:pStyle w:val="Kpalrs"/>
        <w:keepNext/>
        <w:numPr>
          <w:ilvl w:val="0"/>
          <w:numId w:val="12"/>
        </w:numPr>
        <w:ind w:left="643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6</w:t>
      </w:r>
      <w:r w:rsidR="0060316E" w:rsidRPr="00EE324D">
        <w:rPr>
          <w:b/>
          <w:i w:val="0"/>
          <w:color w:val="auto"/>
        </w:rPr>
        <w:t xml:space="preserve">. táblázat Hasonlóságkereső modell eredményei </w:t>
      </w:r>
      <w:r w:rsidR="00227934" w:rsidRPr="00EE324D">
        <w:rPr>
          <w:b/>
          <w:i w:val="0"/>
          <w:color w:val="auto"/>
        </w:rPr>
        <w:t>NASDAQ</w:t>
      </w:r>
      <w:r w:rsidR="0060316E" w:rsidRPr="00EE324D">
        <w:rPr>
          <w:b/>
          <w:i w:val="0"/>
          <w:color w:val="auto"/>
        </w:rPr>
        <w:t xml:space="preserve"> nyitó kereskedési árára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8"/>
        <w:gridCol w:w="851"/>
        <w:gridCol w:w="860"/>
        <w:gridCol w:w="860"/>
        <w:gridCol w:w="740"/>
        <w:gridCol w:w="740"/>
        <w:gridCol w:w="740"/>
        <w:gridCol w:w="740"/>
      </w:tblGrid>
      <w:tr w:rsidR="00EE324D" w:rsidRPr="00EE324D" w:rsidTr="0060316E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Kategória/sáveltérés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6</w:t>
            </w:r>
          </w:p>
        </w:tc>
      </w:tr>
      <w:tr w:rsidR="00EE324D" w:rsidRPr="00EE324D" w:rsidTr="0060316E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C912E9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194</w:t>
            </w:r>
            <w:r w:rsidR="0060316E" w:rsidRPr="00EE324D">
              <w:rPr>
                <w:b/>
                <w:bCs/>
              </w:rPr>
              <w:t xml:space="preserve"> esetből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C912E9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55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C912E9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86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C912E9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C912E9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C912E9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0</w:t>
            </w:r>
          </w:p>
        </w:tc>
      </w:tr>
      <w:tr w:rsidR="00EE324D" w:rsidRPr="00EE324D" w:rsidTr="0060316E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100,00%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28</w:t>
            </w:r>
            <w:r w:rsidR="00C912E9" w:rsidRPr="00EE324D">
              <w:t>,35</w:t>
            </w:r>
            <w:r w:rsidRPr="00EE324D">
              <w:t>%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4</w:t>
            </w:r>
            <w:r w:rsidR="00C912E9" w:rsidRPr="00EE324D">
              <w:t>4,33</w:t>
            </w:r>
            <w:r w:rsidRPr="00EE324D">
              <w:t>%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C912E9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18</w:t>
            </w:r>
            <w:r w:rsidR="0060316E" w:rsidRPr="00EE324D">
              <w:t>,</w:t>
            </w:r>
            <w:r w:rsidRPr="00EE324D">
              <w:t>56</w:t>
            </w:r>
            <w:r w:rsidR="0060316E" w:rsidRPr="00EE324D">
              <w:t>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C912E9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7</w:t>
            </w:r>
            <w:r w:rsidR="0060316E" w:rsidRPr="00EE324D">
              <w:t>,</w:t>
            </w:r>
            <w:r w:rsidRPr="00EE324D">
              <w:t>73</w:t>
            </w:r>
            <w:r w:rsidR="0060316E" w:rsidRPr="00EE324D">
              <w:t>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C912E9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1</w:t>
            </w:r>
            <w:r w:rsidR="0060316E" w:rsidRPr="00EE324D">
              <w:t>,0</w:t>
            </w:r>
            <w:r w:rsidRPr="00EE324D">
              <w:t>3</w:t>
            </w:r>
            <w:r w:rsidR="0060316E" w:rsidRPr="00EE324D">
              <w:t>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0,00%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0,00%</w:t>
            </w:r>
          </w:p>
        </w:tc>
      </w:tr>
      <w:tr w:rsidR="00EE324D" w:rsidRPr="00EE324D" w:rsidTr="0060316E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Iránytalálat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C912E9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142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</w:tr>
      <w:tr w:rsidR="00EE324D" w:rsidRPr="00EE324D" w:rsidTr="0060316E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Iránytartás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C73390" w:rsidP="00E67858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73</w:t>
            </w:r>
            <w:r w:rsidR="0060316E" w:rsidRPr="00EE324D">
              <w:t>,</w:t>
            </w:r>
            <w:r w:rsidRPr="00EE324D">
              <w:t>2</w:t>
            </w:r>
            <w:r w:rsidR="0060316E" w:rsidRPr="00EE324D">
              <w:t>0%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316E" w:rsidRPr="00EE324D" w:rsidRDefault="0060316E" w:rsidP="00E67858">
            <w:pPr>
              <w:keepNext/>
              <w:autoSpaceDE w:val="0"/>
              <w:autoSpaceDN w:val="0"/>
              <w:adjustRightInd w:val="0"/>
              <w:jc w:val="both"/>
            </w:pPr>
          </w:p>
        </w:tc>
      </w:tr>
    </w:tbl>
    <w:p w:rsidR="00C912E9" w:rsidRPr="00EE324D" w:rsidRDefault="00C912E9" w:rsidP="00E67858">
      <w:pPr>
        <w:pStyle w:val="Kpalrs"/>
        <w:keepNext/>
        <w:numPr>
          <w:ilvl w:val="0"/>
          <w:numId w:val="12"/>
        </w:numPr>
        <w:ind w:left="643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Forrás: saját munka</w:t>
      </w:r>
    </w:p>
    <w:p w:rsidR="00E67858" w:rsidRPr="00EE324D" w:rsidRDefault="00D7622B" w:rsidP="00E67858">
      <w:pPr>
        <w:pStyle w:val="Kpalrs"/>
        <w:keepNext/>
        <w:jc w:val="center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7</w:t>
      </w:r>
      <w:r w:rsidR="00E67858" w:rsidRPr="00EE324D">
        <w:rPr>
          <w:b/>
          <w:i w:val="0"/>
          <w:color w:val="auto"/>
        </w:rPr>
        <w:t xml:space="preserve">. táblázat Kategóriák darabszáma </w:t>
      </w:r>
      <w:proofErr w:type="spellStart"/>
      <w:r w:rsidR="00E67858" w:rsidRPr="00EE324D">
        <w:rPr>
          <w:b/>
          <w:i w:val="0"/>
          <w:color w:val="auto"/>
        </w:rPr>
        <w:t>NASDAQ-teszt</w:t>
      </w:r>
      <w:proofErr w:type="spellEnd"/>
      <w:r w:rsidR="00E67858" w:rsidRPr="00EE324D">
        <w:rPr>
          <w:b/>
          <w:i w:val="0"/>
          <w:color w:val="auto"/>
        </w:rPr>
        <w:t xml:space="preserve"> alatt</w:t>
      </w:r>
    </w:p>
    <w:tbl>
      <w:tblPr>
        <w:tblW w:w="3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960"/>
        <w:gridCol w:w="960"/>
      </w:tblGrid>
      <w:tr w:rsidR="00EE324D" w:rsidRPr="00E67858" w:rsidTr="00E67858">
        <w:trPr>
          <w:trHeight w:val="300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rPr>
                <w:b/>
                <w:kern w:val="0"/>
                <w:sz w:val="22"/>
                <w:szCs w:val="22"/>
              </w:rPr>
            </w:pPr>
            <w:r w:rsidRPr="00E67858">
              <w:rPr>
                <w:b/>
                <w:kern w:val="0"/>
                <w:sz w:val="22"/>
                <w:szCs w:val="22"/>
              </w:rPr>
              <w:t>kategóriák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rPr>
                <w:b/>
                <w:kern w:val="0"/>
                <w:sz w:val="22"/>
                <w:szCs w:val="22"/>
              </w:rPr>
            </w:pPr>
            <w:r w:rsidRPr="00E67858">
              <w:rPr>
                <w:b/>
                <w:kern w:val="0"/>
                <w:sz w:val="22"/>
                <w:szCs w:val="22"/>
              </w:rPr>
              <w:t>tény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rPr>
                <w:b/>
                <w:kern w:val="0"/>
                <w:sz w:val="22"/>
                <w:szCs w:val="22"/>
              </w:rPr>
            </w:pPr>
            <w:r w:rsidRPr="00E67858">
              <w:rPr>
                <w:b/>
                <w:kern w:val="0"/>
                <w:sz w:val="22"/>
                <w:szCs w:val="22"/>
              </w:rPr>
              <w:t>becslés</w:t>
            </w:r>
          </w:p>
        </w:tc>
      </w:tr>
      <w:tr w:rsidR="00EE324D" w:rsidRPr="00E67858" w:rsidTr="00E67858">
        <w:trPr>
          <w:trHeight w:val="300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rPr>
                <w:b/>
                <w:kern w:val="0"/>
                <w:sz w:val="22"/>
                <w:szCs w:val="22"/>
              </w:rPr>
            </w:pPr>
            <w:r w:rsidRPr="00E67858">
              <w:rPr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1</w:t>
            </w:r>
          </w:p>
        </w:tc>
      </w:tr>
      <w:tr w:rsidR="00EE324D" w:rsidRPr="00E67858" w:rsidTr="00E67858">
        <w:trPr>
          <w:trHeight w:val="300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rPr>
                <w:b/>
                <w:kern w:val="0"/>
                <w:sz w:val="22"/>
                <w:szCs w:val="22"/>
              </w:rPr>
            </w:pPr>
            <w:r w:rsidRPr="00E67858">
              <w:rPr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5</w:t>
            </w:r>
          </w:p>
        </w:tc>
      </w:tr>
      <w:tr w:rsidR="00EE324D" w:rsidRPr="00E67858" w:rsidTr="00E67858">
        <w:trPr>
          <w:trHeight w:val="300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rPr>
                <w:b/>
                <w:kern w:val="0"/>
                <w:sz w:val="22"/>
                <w:szCs w:val="22"/>
              </w:rPr>
            </w:pPr>
            <w:r w:rsidRPr="00E67858">
              <w:rPr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52</w:t>
            </w:r>
          </w:p>
        </w:tc>
      </w:tr>
      <w:tr w:rsidR="00EE324D" w:rsidRPr="00E67858" w:rsidTr="00E67858">
        <w:trPr>
          <w:trHeight w:val="300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rPr>
                <w:b/>
                <w:kern w:val="0"/>
                <w:sz w:val="22"/>
                <w:szCs w:val="22"/>
              </w:rPr>
            </w:pPr>
            <w:r w:rsidRPr="00E67858">
              <w:rPr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105</w:t>
            </w:r>
          </w:p>
        </w:tc>
      </w:tr>
      <w:tr w:rsidR="00EE324D" w:rsidRPr="00E67858" w:rsidTr="00E67858">
        <w:trPr>
          <w:trHeight w:val="300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rPr>
                <w:b/>
                <w:kern w:val="0"/>
                <w:sz w:val="22"/>
                <w:szCs w:val="22"/>
              </w:rPr>
            </w:pPr>
            <w:r w:rsidRPr="00E67858">
              <w:rPr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29</w:t>
            </w:r>
          </w:p>
        </w:tc>
      </w:tr>
      <w:tr w:rsidR="00EE324D" w:rsidRPr="00E67858" w:rsidTr="00E67858">
        <w:trPr>
          <w:trHeight w:val="300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rPr>
                <w:b/>
                <w:kern w:val="0"/>
                <w:sz w:val="22"/>
                <w:szCs w:val="22"/>
              </w:rPr>
            </w:pPr>
            <w:r w:rsidRPr="00E67858">
              <w:rPr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1</w:t>
            </w:r>
          </w:p>
        </w:tc>
      </w:tr>
      <w:tr w:rsidR="00EE324D" w:rsidRPr="00E67858" w:rsidTr="00E67858">
        <w:trPr>
          <w:trHeight w:val="300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rPr>
                <w:b/>
                <w:kern w:val="0"/>
                <w:sz w:val="22"/>
                <w:szCs w:val="22"/>
              </w:rPr>
            </w:pPr>
            <w:r w:rsidRPr="00E67858">
              <w:rPr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67858" w:rsidRPr="00E67858" w:rsidRDefault="00E67858" w:rsidP="00E67858">
            <w:pPr>
              <w:keepNext/>
              <w:suppressAutoHyphens w:val="0"/>
              <w:jc w:val="right"/>
              <w:rPr>
                <w:kern w:val="0"/>
                <w:sz w:val="22"/>
                <w:szCs w:val="22"/>
              </w:rPr>
            </w:pPr>
            <w:r w:rsidRPr="00E67858">
              <w:rPr>
                <w:kern w:val="0"/>
                <w:sz w:val="22"/>
                <w:szCs w:val="22"/>
              </w:rPr>
              <w:t>1</w:t>
            </w:r>
          </w:p>
        </w:tc>
      </w:tr>
    </w:tbl>
    <w:p w:rsidR="00E67858" w:rsidRPr="00EE324D" w:rsidRDefault="00E67858" w:rsidP="00E67858">
      <w:pPr>
        <w:pStyle w:val="Kpalrs"/>
        <w:ind w:left="2835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Forrás: saját munka</w:t>
      </w:r>
    </w:p>
    <w:p w:rsidR="0060316E" w:rsidRDefault="00C73390" w:rsidP="00232A0F">
      <w:pPr>
        <w:autoSpaceDE w:val="0"/>
        <w:autoSpaceDN w:val="0"/>
        <w:adjustRightInd w:val="0"/>
        <w:jc w:val="both"/>
      </w:pPr>
      <w:r>
        <w:t xml:space="preserve">Az itt elért eredmények közelinek tekinthetőek az előző, </w:t>
      </w:r>
      <w:proofErr w:type="spellStart"/>
      <w:r>
        <w:t>AAPL-teszthez</w:t>
      </w:r>
      <w:proofErr w:type="spellEnd"/>
      <w:r>
        <w:t xml:space="preserve"> képest. Ez a közelség, habár két teszt alapján nem lehet bizonyítottnak tekinteni, felveti a modell stabilitás „gyanúját”. Ennek bizonyítására további tesztek kerültek kiértékelésre.</w:t>
      </w:r>
    </w:p>
    <w:p w:rsidR="00C73390" w:rsidRDefault="00C73390" w:rsidP="00232A0F">
      <w:pPr>
        <w:autoSpaceDE w:val="0"/>
        <w:autoSpaceDN w:val="0"/>
        <w:adjustRightInd w:val="0"/>
        <w:jc w:val="both"/>
      </w:pPr>
    </w:p>
    <w:p w:rsidR="009E7B97" w:rsidRDefault="00C73390" w:rsidP="00892C4A">
      <w:pPr>
        <w:autoSpaceDE w:val="0"/>
        <w:autoSpaceDN w:val="0"/>
        <w:adjustRightInd w:val="0"/>
        <w:jc w:val="both"/>
      </w:pPr>
      <w:r>
        <w:lastRenderedPageBreak/>
        <w:t>Az univerzalitás és a modellstabilitás további bizonyítására, a következő teszt egy termelő vállalat egy termékének</w:t>
      </w:r>
      <w:r w:rsidR="008D6E6D">
        <w:t xml:space="preserve"> várható fogyását (értékesítési darabszám</w:t>
      </w:r>
      <w:r>
        <w:t>) hivatott előre</w:t>
      </w:r>
      <w:r w:rsidR="00055295">
        <w:t xml:space="preserve"> </w:t>
      </w:r>
      <w:r>
        <w:t xml:space="preserve">jelezni. </w:t>
      </w:r>
      <w:r w:rsidR="009E7B97">
        <w:t>Az idősor egysége ismét heti bontású, az előrejelzendő időtáv 50 hét (</w:t>
      </w:r>
      <w:r w:rsidR="009E7B97" w:rsidRPr="009E7B97">
        <w:t>2010.01.04-2010.12.17</w:t>
      </w:r>
      <w:r w:rsidR="009E7B97">
        <w:t>), vagyis egy</w:t>
      </w:r>
      <w:r w:rsidR="008D6E6D">
        <w:t xml:space="preserve"> üzleti/üzemi</w:t>
      </w:r>
      <w:r w:rsidR="009E7B97">
        <w:t xml:space="preserve"> év. A felhasznált bemeneti adatmennyiség 100 hét (</w:t>
      </w:r>
      <w:r w:rsidR="009E7B97" w:rsidRPr="009E7B97">
        <w:t>2008.01.07-2009.12.19</w:t>
      </w:r>
      <w:r w:rsidR="009E7B97">
        <w:t>). Az iránytartás 74%-os</w:t>
      </w:r>
      <w:r w:rsidR="00892C4A">
        <w:t>.</w:t>
      </w:r>
    </w:p>
    <w:p w:rsidR="009E7B97" w:rsidRDefault="009E7B97" w:rsidP="009E7B97">
      <w:pPr>
        <w:autoSpaceDE w:val="0"/>
        <w:autoSpaceDN w:val="0"/>
        <w:adjustRightInd w:val="0"/>
        <w:jc w:val="both"/>
      </w:pPr>
    </w:p>
    <w:p w:rsidR="009E7B97" w:rsidRDefault="009E7B97" w:rsidP="00F975F0">
      <w:pPr>
        <w:keepNext/>
        <w:autoSpaceDE w:val="0"/>
        <w:autoSpaceDN w:val="0"/>
        <w:adjustRightInd w:val="0"/>
        <w:jc w:val="both"/>
      </w:pPr>
      <w:r>
        <w:t>Az eredményeket a 6. táblázat foglalja össze.</w:t>
      </w:r>
    </w:p>
    <w:p w:rsidR="009E7B97" w:rsidRDefault="009E7B97" w:rsidP="00F975F0">
      <w:pPr>
        <w:keepNext/>
        <w:autoSpaceDE w:val="0"/>
        <w:autoSpaceDN w:val="0"/>
        <w:adjustRightInd w:val="0"/>
        <w:jc w:val="both"/>
      </w:pPr>
    </w:p>
    <w:p w:rsidR="009E7B97" w:rsidRPr="00EE324D" w:rsidRDefault="00D7622B" w:rsidP="00F975F0">
      <w:pPr>
        <w:pStyle w:val="Kpalrs"/>
        <w:keepNext/>
        <w:numPr>
          <w:ilvl w:val="0"/>
          <w:numId w:val="12"/>
        </w:numPr>
        <w:ind w:left="643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8</w:t>
      </w:r>
      <w:r w:rsidR="009E7B97" w:rsidRPr="00EE324D">
        <w:rPr>
          <w:b/>
          <w:i w:val="0"/>
          <w:color w:val="auto"/>
        </w:rPr>
        <w:t xml:space="preserve">. táblázat Hasonlóságkereső modell eredményei </w:t>
      </w:r>
      <w:r w:rsidR="00227934" w:rsidRPr="00EE324D">
        <w:rPr>
          <w:b/>
          <w:i w:val="0"/>
          <w:color w:val="auto"/>
        </w:rPr>
        <w:t>vállalati értékesítési adatok szerint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8"/>
        <w:gridCol w:w="851"/>
        <w:gridCol w:w="860"/>
        <w:gridCol w:w="860"/>
        <w:gridCol w:w="740"/>
        <w:gridCol w:w="740"/>
        <w:gridCol w:w="740"/>
        <w:gridCol w:w="740"/>
      </w:tblGrid>
      <w:tr w:rsidR="00EE324D" w:rsidRPr="00EE324D" w:rsidTr="00B727AA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Kategória/sáveltérés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  <w:u w:val="single"/>
              </w:rPr>
              <w:t>6</w:t>
            </w:r>
          </w:p>
        </w:tc>
      </w:tr>
      <w:tr w:rsidR="00EE324D" w:rsidRPr="00EE324D" w:rsidTr="00B727AA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50 esetből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24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17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0</w:t>
            </w:r>
          </w:p>
        </w:tc>
      </w:tr>
      <w:tr w:rsidR="00EE324D" w:rsidRPr="00EE324D" w:rsidTr="00B727AA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100,00%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48,00%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34,00%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8,00%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4,00%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2,00%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4,00%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0,00%</w:t>
            </w:r>
          </w:p>
        </w:tc>
      </w:tr>
      <w:tr w:rsidR="00EE324D" w:rsidRPr="00EE324D" w:rsidTr="00B727AA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Iránytalálat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</w:tr>
      <w:tr w:rsidR="00EE324D" w:rsidRPr="00EE324D" w:rsidTr="00B727AA">
        <w:trPr>
          <w:trHeight w:val="394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rPr>
                <w:b/>
                <w:bCs/>
              </w:rPr>
              <w:t>Iránytartás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  <w:r w:rsidRPr="00EE324D">
              <w:t>74,00%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B97" w:rsidRPr="00EE324D" w:rsidRDefault="009E7B97" w:rsidP="00F975F0">
            <w:pPr>
              <w:keepNext/>
              <w:autoSpaceDE w:val="0"/>
              <w:autoSpaceDN w:val="0"/>
              <w:adjustRightInd w:val="0"/>
              <w:jc w:val="both"/>
            </w:pPr>
          </w:p>
        </w:tc>
      </w:tr>
    </w:tbl>
    <w:p w:rsidR="009E7B97" w:rsidRPr="00EE324D" w:rsidRDefault="009E7B97" w:rsidP="00F975F0">
      <w:pPr>
        <w:pStyle w:val="Kpalrs"/>
        <w:keepNext/>
        <w:numPr>
          <w:ilvl w:val="0"/>
          <w:numId w:val="12"/>
        </w:numPr>
        <w:ind w:left="643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Forrás: saját munka</w:t>
      </w:r>
    </w:p>
    <w:p w:rsidR="00D7622B" w:rsidRPr="00EE324D" w:rsidRDefault="00EE324D" w:rsidP="00D7622B">
      <w:pPr>
        <w:pStyle w:val="Kpalrs"/>
        <w:keepNext/>
        <w:jc w:val="center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9</w:t>
      </w:r>
      <w:r w:rsidR="00D7622B" w:rsidRPr="00EE324D">
        <w:rPr>
          <w:b/>
          <w:i w:val="0"/>
          <w:color w:val="auto"/>
        </w:rPr>
        <w:t>. táblázat Kategóriák darabszáma vállalati termékfogyás-teszten</w:t>
      </w:r>
    </w:p>
    <w:tbl>
      <w:tblPr>
        <w:tblW w:w="3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80"/>
        <w:gridCol w:w="1380"/>
      </w:tblGrid>
      <w:tr w:rsidR="00EE324D" w:rsidRPr="00D7622B" w:rsidTr="00D7622B">
        <w:trPr>
          <w:trHeight w:val="315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kategóriák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tény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becslés</w:t>
            </w:r>
          </w:p>
        </w:tc>
      </w:tr>
      <w:tr w:rsidR="00EE324D" w:rsidRPr="00D7622B" w:rsidTr="00D7622B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22</w:t>
            </w:r>
          </w:p>
        </w:tc>
      </w:tr>
      <w:tr w:rsidR="00EE324D" w:rsidRPr="00D7622B" w:rsidTr="00D7622B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16</w:t>
            </w:r>
          </w:p>
        </w:tc>
      </w:tr>
      <w:tr w:rsidR="00EE324D" w:rsidRPr="00D7622B" w:rsidTr="00D7622B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7</w:t>
            </w:r>
          </w:p>
        </w:tc>
      </w:tr>
      <w:tr w:rsidR="00EE324D" w:rsidRPr="00D7622B" w:rsidTr="00D7622B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1</w:t>
            </w:r>
          </w:p>
        </w:tc>
      </w:tr>
      <w:tr w:rsidR="00EE324D" w:rsidRPr="00D7622B" w:rsidTr="00D7622B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  <w:tr w:rsidR="00EE324D" w:rsidRPr="00D7622B" w:rsidTr="00D7622B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4</w:t>
            </w:r>
          </w:p>
        </w:tc>
      </w:tr>
      <w:tr w:rsidR="00EE324D" w:rsidRPr="00D7622B" w:rsidTr="00D7622B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22B" w:rsidRPr="00D7622B" w:rsidRDefault="00D7622B" w:rsidP="00D7622B">
            <w:pPr>
              <w:keepNext/>
              <w:suppressAutoHyphens w:val="0"/>
              <w:jc w:val="right"/>
              <w:rPr>
                <w:rFonts w:ascii="Calibri" w:hAnsi="Calibri"/>
                <w:kern w:val="0"/>
                <w:sz w:val="22"/>
                <w:szCs w:val="22"/>
              </w:rPr>
            </w:pPr>
            <w:r w:rsidRPr="00D7622B">
              <w:rPr>
                <w:rFonts w:ascii="Calibri" w:hAnsi="Calibri"/>
                <w:kern w:val="0"/>
                <w:sz w:val="22"/>
                <w:szCs w:val="22"/>
              </w:rPr>
              <w:t>0</w:t>
            </w:r>
          </w:p>
        </w:tc>
      </w:tr>
    </w:tbl>
    <w:p w:rsidR="00D7622B" w:rsidRPr="00EE324D" w:rsidRDefault="00D7622B" w:rsidP="00D7622B">
      <w:pPr>
        <w:pStyle w:val="Kpalrs"/>
        <w:ind w:left="2721"/>
        <w:rPr>
          <w:b/>
          <w:i w:val="0"/>
          <w:color w:val="auto"/>
        </w:rPr>
      </w:pPr>
      <w:r w:rsidRPr="00EE324D">
        <w:rPr>
          <w:b/>
          <w:i w:val="0"/>
          <w:color w:val="auto"/>
        </w:rPr>
        <w:t>Forrás: saját munka</w:t>
      </w:r>
    </w:p>
    <w:p w:rsidR="00606CF8" w:rsidRDefault="00FE03A7" w:rsidP="00624C96">
      <w:pPr>
        <w:autoSpaceDE w:val="0"/>
        <w:autoSpaceDN w:val="0"/>
        <w:adjustRightInd w:val="0"/>
        <w:jc w:val="both"/>
      </w:pPr>
      <w:r>
        <w:t xml:space="preserve">Az eredményeken ismét fellelhető a nagyarányú telitalálat, ugyanakkor szélsőségesebb (súlyosabb) eltérések is felbukkantak az előző tesztekhez képest (+/-5 kategória eltérés is volt). Az iránytartást továbbra is magas szinten tartja a modell. </w:t>
      </w:r>
    </w:p>
    <w:p w:rsidR="00314D75" w:rsidRDefault="00314D75" w:rsidP="00232A0F">
      <w:pPr>
        <w:autoSpaceDE w:val="0"/>
        <w:autoSpaceDN w:val="0"/>
        <w:adjustRightInd w:val="0"/>
        <w:jc w:val="both"/>
      </w:pPr>
    </w:p>
    <w:p w:rsidR="008B5B2F" w:rsidRPr="008B5B2F" w:rsidRDefault="008B5B2F" w:rsidP="00232A0F">
      <w:pPr>
        <w:autoSpaceDE w:val="0"/>
        <w:autoSpaceDN w:val="0"/>
        <w:adjustRightInd w:val="0"/>
        <w:jc w:val="both"/>
        <w:rPr>
          <w:b/>
        </w:rPr>
      </w:pPr>
      <w:r w:rsidRPr="008B5B2F">
        <w:rPr>
          <w:b/>
        </w:rPr>
        <w:t>4. Következtetések</w:t>
      </w:r>
      <w:r w:rsidR="000016B3">
        <w:rPr>
          <w:b/>
        </w:rPr>
        <w:t>, javaslatok</w:t>
      </w:r>
    </w:p>
    <w:p w:rsidR="008B5B2F" w:rsidRDefault="008B5B2F" w:rsidP="00232A0F">
      <w:pPr>
        <w:autoSpaceDE w:val="0"/>
        <w:autoSpaceDN w:val="0"/>
        <w:adjustRightInd w:val="0"/>
        <w:jc w:val="both"/>
      </w:pPr>
    </w:p>
    <w:p w:rsidR="008B5B2F" w:rsidRDefault="00054FE1" w:rsidP="00232A0F">
      <w:pPr>
        <w:autoSpaceDE w:val="0"/>
        <w:autoSpaceDN w:val="0"/>
        <w:adjustRightInd w:val="0"/>
        <w:jc w:val="both"/>
      </w:pPr>
      <w:r>
        <w:t>A modell egyik hiányossága, hogy a kategóriák száma csak egyjegyű szám lehet, mivel az FKERES függvény nem képes megkülönböztetni az egyjegyű illetve a kétjegyű számokat egymástól. Ennek a problémának az áthidalására az ABC betűi kerültek a kategória nevek (számok) helyettesítésére. Ezáltal egy kétjegyű szám, például: 11, már „B” karakterjellel jelenik meg a modell számára. Ezzel a helyettesítéssel, vagy átkódolással a kategóriák számát egyedül az egy karakterkódnak megjelenő betűk és más jelek számossága korlátozza.</w:t>
      </w:r>
    </w:p>
    <w:p w:rsidR="00FD1246" w:rsidRDefault="00FD1246" w:rsidP="00232A0F">
      <w:pPr>
        <w:autoSpaceDE w:val="0"/>
        <w:autoSpaceDN w:val="0"/>
        <w:adjustRightInd w:val="0"/>
        <w:jc w:val="both"/>
      </w:pPr>
    </w:p>
    <w:p w:rsidR="00FD1246" w:rsidRDefault="00FD1246" w:rsidP="00232A0F">
      <w:pPr>
        <w:autoSpaceDE w:val="0"/>
        <w:autoSpaceDN w:val="0"/>
        <w:adjustRightInd w:val="0"/>
        <w:jc w:val="both"/>
      </w:pPr>
      <w:r>
        <w:t>A hasonlóságkereső modell jelenlegi formájában nem képes a több, akár egymást is befolyásoló tényezők eredőjének kiszámítására. Vagyis nem képes N dimenziós számításokra.</w:t>
      </w:r>
      <w:r w:rsidR="002629F0">
        <w:t xml:space="preserve"> Erre egy lehetséges megoldás lehet az Euklideszi egyenletbe rendezett tulajdonságokhoz tartozó adott időpontok egymáshoz képesti összehasonlítása, illetve adott tulajdonság időegységről időegységre történő változásának összehasonlítása. Ezzel megkapjuk az Euklideszi távolságmátrixot. Előrejelzésként, a hason</w:t>
      </w:r>
      <w:r w:rsidR="00DB6C5E">
        <w:t xml:space="preserve">lóságkereső modell analógiájából </w:t>
      </w:r>
      <w:r w:rsidR="00DB6C5E">
        <w:lastRenderedPageBreak/>
        <w:t>kiindulva</w:t>
      </w:r>
      <w:r w:rsidR="002629F0">
        <w:t xml:space="preserve"> az a másik múltbélit követő mintáza</w:t>
      </w:r>
      <w:r w:rsidR="00F266B9">
        <w:t>t lesz elfogadható, amelyet megelőző mintázat a legkisebb távolságra van, az utolsó ismerttől.</w:t>
      </w:r>
    </w:p>
    <w:p w:rsidR="00CE4982" w:rsidRDefault="00CE4982" w:rsidP="00232A0F">
      <w:pPr>
        <w:autoSpaceDE w:val="0"/>
        <w:autoSpaceDN w:val="0"/>
        <w:adjustRightInd w:val="0"/>
        <w:jc w:val="both"/>
      </w:pPr>
    </w:p>
    <w:p w:rsidR="00CE4982" w:rsidRDefault="00CE4982" w:rsidP="00232A0F">
      <w:pPr>
        <w:autoSpaceDE w:val="0"/>
        <w:autoSpaceDN w:val="0"/>
        <w:adjustRightInd w:val="0"/>
        <w:jc w:val="both"/>
      </w:pPr>
      <w:r>
        <w:t xml:space="preserve">Ahogy már az 1.1-es verzió </w:t>
      </w:r>
      <w:r w:rsidR="00A271A7">
        <w:t xml:space="preserve">leírásánál is felvetődött, a kategóriákat tömörítő mintázatok hosszának változtatása, javíthat a modell mért teljesítményén. Az elmélet szerint a különböző adatkörnyezetből származó idősorokhoz más-más hosszúságú mintázatok lehetnek megfelelőek. Ennek a paraméternek a változtatásával és folyamatos újratesztelésével behatárolható, hogy a tesztelésbe vont adatkörnyezethez mely kategóriaszámok illeszkednek a leginkább. Egy másik hasonló megközelítés szerint külön algoritmus </w:t>
      </w:r>
      <w:proofErr w:type="gramStart"/>
      <w:r w:rsidR="00A271A7">
        <w:t>vizsgálná</w:t>
      </w:r>
      <w:proofErr w:type="gramEnd"/>
      <w:r w:rsidR="00A271A7">
        <w:t xml:space="preserve"> a modell bementi oldalát, ahol az algoritmus képes lenne megadni a mintázatok tagszámát, amelyet továbbküldve a hasonlóságkereső modellnek, az automatikusan átkalibrálná magát.</w:t>
      </w:r>
    </w:p>
    <w:p w:rsidR="00CA6C5C" w:rsidRDefault="00CA6C5C" w:rsidP="00232A0F">
      <w:pPr>
        <w:autoSpaceDE w:val="0"/>
        <w:autoSpaceDN w:val="0"/>
        <w:adjustRightInd w:val="0"/>
        <w:jc w:val="both"/>
      </w:pPr>
    </w:p>
    <w:p w:rsidR="008B5B2F" w:rsidRPr="008B5B2F" w:rsidRDefault="008B5B2F" w:rsidP="00232A0F">
      <w:pPr>
        <w:autoSpaceDE w:val="0"/>
        <w:autoSpaceDN w:val="0"/>
        <w:adjustRightInd w:val="0"/>
        <w:jc w:val="both"/>
        <w:rPr>
          <w:b/>
        </w:rPr>
      </w:pPr>
      <w:r w:rsidRPr="008B5B2F">
        <w:rPr>
          <w:b/>
        </w:rPr>
        <w:t>5. Összefoglalás</w:t>
      </w:r>
    </w:p>
    <w:p w:rsidR="008B5B2F" w:rsidRDefault="008B5B2F" w:rsidP="00232A0F">
      <w:pPr>
        <w:autoSpaceDE w:val="0"/>
        <w:autoSpaceDN w:val="0"/>
        <w:adjustRightInd w:val="0"/>
        <w:jc w:val="both"/>
      </w:pPr>
    </w:p>
    <w:p w:rsidR="008B5B2F" w:rsidRDefault="00DB6C5E" w:rsidP="00232A0F">
      <w:pPr>
        <w:autoSpaceDE w:val="0"/>
        <w:autoSpaceDN w:val="0"/>
        <w:adjustRightInd w:val="0"/>
        <w:jc w:val="both"/>
      </w:pPr>
      <w:r>
        <w:t>A Bevezetésben megfogalmazott célok közül, az eddigi teszteredmények szerint sikerült egy univerzálisan működő modell első mérföldkövét letenni. A hasonlóságok felismerése és követése elfogadható</w:t>
      </w:r>
      <w:r w:rsidR="00B94558">
        <w:t xml:space="preserve"> </w:t>
      </w:r>
      <w:r>
        <w:t>öntanulásnak, mert a bemenő adatokkal növekvő mintázatok száma a modell tapasztalati adatbázisává válik. Valószínűleg ennek is köszönhető, hogy a klasszikus modellhez képest jelentősen sikerült az iránytartást növelni, és ezt a szintet különböző adatkörnyezettel rendelkező tesztnél tartani is.</w:t>
      </w:r>
      <w:r w:rsidR="00192192">
        <w:t xml:space="preserve"> A numerikus pontosság tekintetében a két modell összehasonlítása nehezebb, mivel a hasonlóságkereső modell a várható változás kategóriáját, vagyis a várható maximális és minimális változás mértékét jelzi előre, amíg a klasszikus mode</w:t>
      </w:r>
      <w:r w:rsidR="00663044">
        <w:t>ll konkrét számokat determinál.</w:t>
      </w:r>
    </w:p>
    <w:p w:rsidR="00663044" w:rsidRDefault="00663044" w:rsidP="00232A0F">
      <w:pPr>
        <w:autoSpaceDE w:val="0"/>
        <w:autoSpaceDN w:val="0"/>
        <w:adjustRightInd w:val="0"/>
        <w:jc w:val="both"/>
      </w:pPr>
    </w:p>
    <w:p w:rsidR="008B5B2F" w:rsidRPr="000016B3" w:rsidRDefault="008B5B2F" w:rsidP="00232A0F">
      <w:pPr>
        <w:autoSpaceDE w:val="0"/>
        <w:autoSpaceDN w:val="0"/>
        <w:adjustRightInd w:val="0"/>
        <w:jc w:val="both"/>
        <w:rPr>
          <w:b/>
        </w:rPr>
      </w:pPr>
      <w:r w:rsidRPr="000016B3">
        <w:rPr>
          <w:b/>
        </w:rPr>
        <w:t>Irodalomjegyzék</w:t>
      </w:r>
    </w:p>
    <w:p w:rsidR="008B5B2F" w:rsidRDefault="008B5B2F" w:rsidP="00232A0F">
      <w:pPr>
        <w:autoSpaceDE w:val="0"/>
        <w:autoSpaceDN w:val="0"/>
        <w:adjustRightInd w:val="0"/>
        <w:jc w:val="both"/>
      </w:pPr>
    </w:p>
    <w:p w:rsidR="0080479D" w:rsidRDefault="0080479D" w:rsidP="0080479D">
      <w:pPr>
        <w:autoSpaceDE w:val="0"/>
        <w:autoSpaceDN w:val="0"/>
        <w:adjustRightInd w:val="0"/>
        <w:jc w:val="both"/>
      </w:pPr>
      <w:r>
        <w:t xml:space="preserve">Szigeti Gábor, et </w:t>
      </w:r>
      <w:proofErr w:type="spellStart"/>
      <w:r>
        <w:t>al</w:t>
      </w:r>
      <w:proofErr w:type="spellEnd"/>
      <w:r>
        <w:t xml:space="preserve"> (2015): </w:t>
      </w:r>
      <w:r w:rsidRPr="0080479D">
        <w:rPr>
          <w:i/>
        </w:rPr>
        <w:t>Mennyi egy idősor esetén a változási irány előrejelzésének vé</w:t>
      </w:r>
      <w:r>
        <w:rPr>
          <w:i/>
        </w:rPr>
        <w:t>letlenszerűen elérhető maximuma</w:t>
      </w:r>
      <w:proofErr w:type="gramStart"/>
      <w:r>
        <w:rPr>
          <w:i/>
        </w:rPr>
        <w:t>?</w:t>
      </w:r>
      <w:r w:rsidR="000016B3">
        <w:t>,</w:t>
      </w:r>
      <w:proofErr w:type="gramEnd"/>
      <w:r w:rsidR="000016B3">
        <w:t xml:space="preserve"> Letöltve: 2015. február</w:t>
      </w:r>
      <w:r>
        <w:t xml:space="preserve"> 27-én, a Magyar Internetes Agrár és Alkalmazott Informatika Újság weboldalról:</w:t>
      </w:r>
    </w:p>
    <w:p w:rsidR="0080479D" w:rsidRDefault="00B17CF1" w:rsidP="0080479D">
      <w:pPr>
        <w:autoSpaceDE w:val="0"/>
        <w:autoSpaceDN w:val="0"/>
        <w:adjustRightInd w:val="0"/>
        <w:jc w:val="both"/>
      </w:pPr>
      <w:hyperlink r:id="rId11" w:history="1">
        <w:r w:rsidR="000016B3" w:rsidRPr="00AD34CE">
          <w:rPr>
            <w:rStyle w:val="Hiperhivatkozs"/>
          </w:rPr>
          <w:t>http://miau.gau.hu/miau/198/veletlen_e_a_veletlen_v2.docx</w:t>
        </w:r>
      </w:hyperlink>
    </w:p>
    <w:p w:rsidR="000016B3" w:rsidRDefault="000016B3" w:rsidP="0080479D">
      <w:pPr>
        <w:autoSpaceDE w:val="0"/>
        <w:autoSpaceDN w:val="0"/>
        <w:adjustRightInd w:val="0"/>
        <w:jc w:val="both"/>
      </w:pPr>
    </w:p>
    <w:p w:rsidR="000016B3" w:rsidRDefault="000016B3" w:rsidP="0080479D">
      <w:pPr>
        <w:autoSpaceDE w:val="0"/>
        <w:autoSpaceDN w:val="0"/>
        <w:adjustRightInd w:val="0"/>
        <w:jc w:val="both"/>
      </w:pPr>
      <w:r>
        <w:t xml:space="preserve">Varga Zoltán (2014): Tavaszi Szél Konferencia, Közgazdaságtudományi Osztály, Online Folyóirat, </w:t>
      </w:r>
      <w:r w:rsidRPr="00DB6C5E">
        <w:rPr>
          <w:i/>
        </w:rPr>
        <w:t>Egy kereslet-előrejelző modell kritikája és fejlesztési lehetőségei I</w:t>
      </w:r>
      <w:r>
        <w:t xml:space="preserve">., </w:t>
      </w:r>
      <w:r w:rsidR="00F2508D">
        <w:t>520-527, Letöltve: 2015. április 28-án, Doktoranduszok Országos Szövetségének tárhelyéről:</w:t>
      </w:r>
    </w:p>
    <w:p w:rsidR="00F2508D" w:rsidRDefault="00B17CF1" w:rsidP="0080479D">
      <w:pPr>
        <w:autoSpaceDE w:val="0"/>
        <w:autoSpaceDN w:val="0"/>
        <w:adjustRightInd w:val="0"/>
        <w:jc w:val="both"/>
        <w:rPr>
          <w:rStyle w:val="Hiperhivatkozs"/>
          <w:rFonts w:eastAsiaTheme="majorEastAsia"/>
        </w:rPr>
      </w:pPr>
      <w:hyperlink r:id="rId12" w:tgtFrame="_blank" w:history="1">
        <w:r w:rsidR="00F2508D">
          <w:rPr>
            <w:rStyle w:val="Hiperhivatkozs"/>
            <w:rFonts w:eastAsiaTheme="majorEastAsia"/>
          </w:rPr>
          <w:t>https://drive.google.com/file/d/0B5XVxTPHc-zaTEVjem9YSDlSa28/view?usp=sharing</w:t>
        </w:r>
      </w:hyperlink>
    </w:p>
    <w:p w:rsidR="000300FC" w:rsidRPr="004E246E" w:rsidRDefault="000300FC" w:rsidP="0080479D">
      <w:pPr>
        <w:autoSpaceDE w:val="0"/>
        <w:autoSpaceDN w:val="0"/>
        <w:adjustRightInd w:val="0"/>
        <w:jc w:val="both"/>
        <w:rPr>
          <w:rStyle w:val="Hiperhivatkozs"/>
          <w:rFonts w:eastAsiaTheme="majorEastAsia"/>
          <w:color w:val="auto"/>
          <w:u w:val="none"/>
        </w:rPr>
      </w:pPr>
    </w:p>
    <w:p w:rsidR="004E246E" w:rsidRPr="004E246E" w:rsidRDefault="004E246E" w:rsidP="0080479D">
      <w:pPr>
        <w:autoSpaceDE w:val="0"/>
        <w:autoSpaceDN w:val="0"/>
        <w:adjustRightInd w:val="0"/>
        <w:jc w:val="both"/>
        <w:rPr>
          <w:rStyle w:val="Hiperhivatkozs"/>
          <w:rFonts w:eastAsiaTheme="majorEastAsia"/>
          <w:color w:val="auto"/>
          <w:u w:val="none"/>
        </w:rPr>
      </w:pPr>
      <w:r w:rsidRPr="004E246E">
        <w:rPr>
          <w:rStyle w:val="Hiperhivatkozs"/>
          <w:rFonts w:eastAsiaTheme="majorEastAsia"/>
          <w:color w:val="auto"/>
          <w:u w:val="none"/>
        </w:rPr>
        <w:t>Varga Zoltán</w:t>
      </w:r>
      <w:r>
        <w:rPr>
          <w:rStyle w:val="Hiperhivatkozs"/>
          <w:rFonts w:eastAsiaTheme="majorEastAsia"/>
          <w:color w:val="auto"/>
          <w:u w:val="none"/>
        </w:rPr>
        <w:t xml:space="preserve"> (2012): Diplomadolgozat/TDK pályamunka, Kereslet-előrejelzés a vállalati logisztikában, </w:t>
      </w:r>
      <w:hyperlink r:id="rId13" w:history="1">
        <w:r w:rsidR="0033227D" w:rsidRPr="005A4FC9">
          <w:rPr>
            <w:rStyle w:val="Hiperhivatkozs"/>
            <w:rFonts w:eastAsiaTheme="majorEastAsia"/>
          </w:rPr>
          <w:t>http://miau.gau.hu/miau/177/Varga_Zoltan_Diplomadolgozat_2012.pdf</w:t>
        </w:r>
      </w:hyperlink>
      <w:r w:rsidR="0033227D">
        <w:rPr>
          <w:rStyle w:val="Hiperhivatkozs"/>
          <w:rFonts w:eastAsiaTheme="majorEastAsia"/>
          <w:color w:val="auto"/>
          <w:u w:val="none"/>
        </w:rPr>
        <w:t xml:space="preserve"> </w:t>
      </w:r>
    </w:p>
    <w:p w:rsidR="004E246E" w:rsidRPr="004E246E" w:rsidRDefault="004E246E" w:rsidP="0080479D">
      <w:pPr>
        <w:autoSpaceDE w:val="0"/>
        <w:autoSpaceDN w:val="0"/>
        <w:adjustRightInd w:val="0"/>
        <w:jc w:val="both"/>
        <w:rPr>
          <w:rStyle w:val="Hiperhivatkozs"/>
          <w:rFonts w:eastAsiaTheme="majorEastAsia"/>
          <w:color w:val="auto"/>
          <w:u w:val="none"/>
        </w:rPr>
      </w:pPr>
    </w:p>
    <w:p w:rsidR="000300FC" w:rsidRPr="0080479D" w:rsidRDefault="000300FC" w:rsidP="0080479D">
      <w:pPr>
        <w:autoSpaceDE w:val="0"/>
        <w:autoSpaceDN w:val="0"/>
        <w:adjustRightInd w:val="0"/>
        <w:jc w:val="both"/>
      </w:pPr>
    </w:p>
    <w:p w:rsidR="008B5B2F" w:rsidRDefault="008B5B2F" w:rsidP="00232A0F">
      <w:pPr>
        <w:autoSpaceDE w:val="0"/>
        <w:autoSpaceDN w:val="0"/>
        <w:adjustRightInd w:val="0"/>
        <w:jc w:val="both"/>
      </w:pPr>
    </w:p>
    <w:p w:rsidR="002D27E9" w:rsidRDefault="002D27E9" w:rsidP="00232A0F">
      <w:pPr>
        <w:autoSpaceDE w:val="0"/>
        <w:autoSpaceDN w:val="0"/>
        <w:adjustRightInd w:val="0"/>
        <w:jc w:val="both"/>
      </w:pPr>
      <w:r w:rsidRPr="002D27E9">
        <w:rPr>
          <w:b/>
        </w:rPr>
        <w:t>Lektorálta</w:t>
      </w:r>
      <w:r>
        <w:t>: Dr. Pitlik László, Szent István Egyetem, egyetemi docens</w:t>
      </w:r>
    </w:p>
    <w:sectPr w:rsidR="002D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F1" w:rsidRDefault="00B17CF1" w:rsidP="008B5B2F">
      <w:r>
        <w:separator/>
      </w:r>
    </w:p>
  </w:endnote>
  <w:endnote w:type="continuationSeparator" w:id="0">
    <w:p w:rsidR="00B17CF1" w:rsidRDefault="00B17CF1" w:rsidP="008B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F1" w:rsidRDefault="00B17CF1" w:rsidP="008B5B2F">
      <w:r>
        <w:separator/>
      </w:r>
    </w:p>
  </w:footnote>
  <w:footnote w:type="continuationSeparator" w:id="0">
    <w:p w:rsidR="00B17CF1" w:rsidRDefault="00B17CF1" w:rsidP="008B5B2F">
      <w:r>
        <w:continuationSeparator/>
      </w:r>
    </w:p>
  </w:footnote>
  <w:footnote w:id="1">
    <w:p w:rsidR="0033227D" w:rsidRDefault="0033227D">
      <w:pPr>
        <w:pStyle w:val="Lbjegyzetszveg"/>
      </w:pPr>
      <w:r>
        <w:rPr>
          <w:rStyle w:val="Lbjegyzet-hivatkozs"/>
        </w:rPr>
        <w:footnoteRef/>
      </w:r>
      <w:r>
        <w:t xml:space="preserve"> Numerikus pontosság alatt értendő, a tény és előrejelzési számok közötti számszerű eltérés, nincs eltérés, ha a mutató értéke 100%.</w:t>
      </w:r>
    </w:p>
  </w:footnote>
  <w:footnote w:id="2">
    <w:p w:rsidR="0033227D" w:rsidRDefault="0033227D">
      <w:pPr>
        <w:pStyle w:val="Lbjegyzetszveg"/>
      </w:pPr>
      <w:r>
        <w:rPr>
          <w:rStyle w:val="Lbjegyzet-hivatkozs"/>
        </w:rPr>
        <w:footnoteRef/>
      </w:r>
      <w:r>
        <w:t xml:space="preserve"> Iránytartás/iránytalálat alatt értendő, hogy egy adott idősor várható növekedését, csökkenését, stagnálását az előrejelzés előre jelezni képes. Csak a változás irányával foglalkozik.</w:t>
      </w:r>
    </w:p>
  </w:footnote>
  <w:footnote w:id="3">
    <w:p w:rsidR="0033227D" w:rsidRDefault="0033227D">
      <w:pPr>
        <w:pStyle w:val="Lbjegyzetszveg"/>
      </w:pPr>
      <w:r>
        <w:rPr>
          <w:rStyle w:val="Lbjegyzet-hivatkozs"/>
        </w:rPr>
        <w:footnoteRef/>
      </w:r>
      <w:r>
        <w:t xml:space="preserve"> Filozófiai hibridizációként értendő, ami a „hasonlóság” kérdéskörének beépítését jelenti.</w:t>
      </w:r>
    </w:p>
  </w:footnote>
  <w:footnote w:id="4">
    <w:p w:rsidR="0011509C" w:rsidRDefault="0011509C" w:rsidP="0011509C">
      <w:pPr>
        <w:pStyle w:val="Lbjegyzetszveg"/>
      </w:pPr>
      <w:r>
        <w:rPr>
          <w:rStyle w:val="Lbjegyzet-hivatkozs"/>
        </w:rPr>
        <w:footnoteRef/>
      </w:r>
      <w:r>
        <w:t xml:space="preserve"> Kiegyensúlyozottnak tekintendő (stabilitás és következetesség) – jelen tanulmányban – az eredmények egymáshoz képesti arányának megtartása.</w:t>
      </w:r>
    </w:p>
  </w:footnote>
  <w:footnote w:id="5">
    <w:p w:rsidR="0033227D" w:rsidRDefault="0033227D">
      <w:pPr>
        <w:pStyle w:val="Lbjegyzetszveg"/>
      </w:pPr>
      <w:r>
        <w:rPr>
          <w:rStyle w:val="Lbjegyzet-hivatkozs"/>
        </w:rPr>
        <w:footnoteRef/>
      </w:r>
      <w:r>
        <w:t xml:space="preserve"> Univerzálisnak tekinthető, az az előrejelző modell, amely bármely valós adatkörnyezetből, a modell működéséhez formázásban (általános vagy szám) és mennyiségben (minimum 100 input) megfelelő </w:t>
      </w:r>
      <w:r w:rsidR="006808EE">
        <w:t>adatokkal képes arányaikban közel azonos eredményeket előállítani.</w:t>
      </w:r>
    </w:p>
  </w:footnote>
  <w:footnote w:id="6">
    <w:p w:rsidR="0033227D" w:rsidRDefault="0033227D">
      <w:pPr>
        <w:pStyle w:val="Lbjegyzetszveg"/>
      </w:pPr>
      <w:r>
        <w:rPr>
          <w:rStyle w:val="Lbjegyzet-hivatkozs"/>
        </w:rPr>
        <w:footnoteRef/>
      </w:r>
      <w:r>
        <w:t xml:space="preserve"> Nem a programnyelvi tanulásról, hanem arról az emberi képességről van szó, ahogyan ember képes megkülönböztetni két tárgyat egymástól.</w:t>
      </w:r>
    </w:p>
  </w:footnote>
  <w:footnote w:id="7">
    <w:p w:rsidR="0033227D" w:rsidRDefault="0033227D">
      <w:pPr>
        <w:pStyle w:val="Lbjegyzetszveg"/>
      </w:pPr>
      <w:r>
        <w:rPr>
          <w:rStyle w:val="Lbjegyzet-hivatkozs"/>
        </w:rPr>
        <w:footnoteRef/>
      </w:r>
      <w:r>
        <w:t xml:space="preserve"> Az adott vállalat 2011 év elején átállt a modell alkalmazására.</w:t>
      </w:r>
    </w:p>
  </w:footnote>
  <w:footnote w:id="8">
    <w:p w:rsidR="00871344" w:rsidRDefault="00871344" w:rsidP="00871344">
      <w:pPr>
        <w:pStyle w:val="Lbjegyzetszveg"/>
      </w:pPr>
      <w:r>
        <w:rPr>
          <w:rStyle w:val="Lbjegyzet-hivatkozs"/>
        </w:rPr>
        <w:footnoteRef/>
      </w:r>
      <w:r>
        <w:t xml:space="preserve"> A kategóriatalálat a numerikus pontosság hasonlóságkereső modellre értelmezhető variánsa.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344"/>
    <w:multiLevelType w:val="hybridMultilevel"/>
    <w:tmpl w:val="ADC865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E66"/>
    <w:multiLevelType w:val="hybridMultilevel"/>
    <w:tmpl w:val="2CF8B4DE"/>
    <w:lvl w:ilvl="0" w:tplc="B61E5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70388"/>
    <w:multiLevelType w:val="hybridMultilevel"/>
    <w:tmpl w:val="3E68A2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63B3F"/>
    <w:multiLevelType w:val="hybridMultilevel"/>
    <w:tmpl w:val="290AA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84E"/>
    <w:multiLevelType w:val="hybridMultilevel"/>
    <w:tmpl w:val="DC4A9040"/>
    <w:lvl w:ilvl="0" w:tplc="030EA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768F6"/>
    <w:multiLevelType w:val="hybridMultilevel"/>
    <w:tmpl w:val="FC1EB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3525C"/>
    <w:multiLevelType w:val="hybridMultilevel"/>
    <w:tmpl w:val="A63A7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117F8"/>
    <w:multiLevelType w:val="hybridMultilevel"/>
    <w:tmpl w:val="6226DBA0"/>
    <w:lvl w:ilvl="0" w:tplc="4378A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86440B"/>
    <w:multiLevelType w:val="hybridMultilevel"/>
    <w:tmpl w:val="3D8A5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13FF7"/>
    <w:multiLevelType w:val="hybridMultilevel"/>
    <w:tmpl w:val="35067A6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1A561C"/>
    <w:multiLevelType w:val="hybridMultilevel"/>
    <w:tmpl w:val="034CE578"/>
    <w:lvl w:ilvl="0" w:tplc="538EE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652E04"/>
    <w:multiLevelType w:val="hybridMultilevel"/>
    <w:tmpl w:val="B6FA1B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959F7"/>
    <w:multiLevelType w:val="hybridMultilevel"/>
    <w:tmpl w:val="AC2A7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02D68"/>
    <w:multiLevelType w:val="hybridMultilevel"/>
    <w:tmpl w:val="76D08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96"/>
    <w:rsid w:val="000016B3"/>
    <w:rsid w:val="00021220"/>
    <w:rsid w:val="000300FC"/>
    <w:rsid w:val="00031BDA"/>
    <w:rsid w:val="00044483"/>
    <w:rsid w:val="00054FE1"/>
    <w:rsid w:val="00055295"/>
    <w:rsid w:val="000852DC"/>
    <w:rsid w:val="00095A7A"/>
    <w:rsid w:val="000A5377"/>
    <w:rsid w:val="000B4B84"/>
    <w:rsid w:val="000C05C4"/>
    <w:rsid w:val="000E4EC6"/>
    <w:rsid w:val="000E7345"/>
    <w:rsid w:val="000F10FE"/>
    <w:rsid w:val="0011509C"/>
    <w:rsid w:val="00124169"/>
    <w:rsid w:val="001277B0"/>
    <w:rsid w:val="00131217"/>
    <w:rsid w:val="001463EF"/>
    <w:rsid w:val="00162DDB"/>
    <w:rsid w:val="001739A5"/>
    <w:rsid w:val="00192192"/>
    <w:rsid w:val="001C5675"/>
    <w:rsid w:val="001D47DD"/>
    <w:rsid w:val="001D71F3"/>
    <w:rsid w:val="001E015B"/>
    <w:rsid w:val="00214028"/>
    <w:rsid w:val="00227934"/>
    <w:rsid w:val="00232A0F"/>
    <w:rsid w:val="002629F0"/>
    <w:rsid w:val="00271AAA"/>
    <w:rsid w:val="002B662D"/>
    <w:rsid w:val="002B7EA1"/>
    <w:rsid w:val="002C452A"/>
    <w:rsid w:val="002D275B"/>
    <w:rsid w:val="002D27E9"/>
    <w:rsid w:val="00314D75"/>
    <w:rsid w:val="0033227D"/>
    <w:rsid w:val="00342D0F"/>
    <w:rsid w:val="00343C96"/>
    <w:rsid w:val="003452BF"/>
    <w:rsid w:val="0034588A"/>
    <w:rsid w:val="003467D3"/>
    <w:rsid w:val="003A16E8"/>
    <w:rsid w:val="003C5510"/>
    <w:rsid w:val="003D7FE6"/>
    <w:rsid w:val="003F540A"/>
    <w:rsid w:val="00445611"/>
    <w:rsid w:val="00462E19"/>
    <w:rsid w:val="00481F05"/>
    <w:rsid w:val="004A6D4F"/>
    <w:rsid w:val="004C2FC9"/>
    <w:rsid w:val="004E246E"/>
    <w:rsid w:val="00515ADB"/>
    <w:rsid w:val="005206DD"/>
    <w:rsid w:val="00534FEB"/>
    <w:rsid w:val="00560349"/>
    <w:rsid w:val="00561560"/>
    <w:rsid w:val="0056484D"/>
    <w:rsid w:val="00570662"/>
    <w:rsid w:val="00575BC3"/>
    <w:rsid w:val="0059658A"/>
    <w:rsid w:val="005E6213"/>
    <w:rsid w:val="0060316E"/>
    <w:rsid w:val="00606CF8"/>
    <w:rsid w:val="00607C69"/>
    <w:rsid w:val="00616E71"/>
    <w:rsid w:val="00624C96"/>
    <w:rsid w:val="00631D9B"/>
    <w:rsid w:val="00663044"/>
    <w:rsid w:val="006808EE"/>
    <w:rsid w:val="00680FAC"/>
    <w:rsid w:val="006C0977"/>
    <w:rsid w:val="006C4C26"/>
    <w:rsid w:val="006E41B0"/>
    <w:rsid w:val="006F228D"/>
    <w:rsid w:val="0076374D"/>
    <w:rsid w:val="0076580D"/>
    <w:rsid w:val="007672A8"/>
    <w:rsid w:val="00770DFF"/>
    <w:rsid w:val="00783C5C"/>
    <w:rsid w:val="007B27DD"/>
    <w:rsid w:val="007F15E7"/>
    <w:rsid w:val="007F3F54"/>
    <w:rsid w:val="007F71D1"/>
    <w:rsid w:val="00801003"/>
    <w:rsid w:val="0080479D"/>
    <w:rsid w:val="00846AC5"/>
    <w:rsid w:val="00867636"/>
    <w:rsid w:val="00871344"/>
    <w:rsid w:val="00881455"/>
    <w:rsid w:val="00892C4A"/>
    <w:rsid w:val="00893F6A"/>
    <w:rsid w:val="008A67FB"/>
    <w:rsid w:val="008A7128"/>
    <w:rsid w:val="008B0F44"/>
    <w:rsid w:val="008B56A5"/>
    <w:rsid w:val="008B5B2F"/>
    <w:rsid w:val="008C3545"/>
    <w:rsid w:val="008D6E6D"/>
    <w:rsid w:val="00902B57"/>
    <w:rsid w:val="009725D8"/>
    <w:rsid w:val="009C5E0C"/>
    <w:rsid w:val="009E7B97"/>
    <w:rsid w:val="00A271A7"/>
    <w:rsid w:val="00A71DB6"/>
    <w:rsid w:val="00A75FBB"/>
    <w:rsid w:val="00A80FAC"/>
    <w:rsid w:val="00A8726A"/>
    <w:rsid w:val="00AD6811"/>
    <w:rsid w:val="00B17CF1"/>
    <w:rsid w:val="00B5196D"/>
    <w:rsid w:val="00B65473"/>
    <w:rsid w:val="00B727AA"/>
    <w:rsid w:val="00B94558"/>
    <w:rsid w:val="00BA6A03"/>
    <w:rsid w:val="00BC77C9"/>
    <w:rsid w:val="00BE0931"/>
    <w:rsid w:val="00C003F3"/>
    <w:rsid w:val="00C04A19"/>
    <w:rsid w:val="00C07491"/>
    <w:rsid w:val="00C35BE7"/>
    <w:rsid w:val="00C6652A"/>
    <w:rsid w:val="00C72EBB"/>
    <w:rsid w:val="00C73390"/>
    <w:rsid w:val="00C912E9"/>
    <w:rsid w:val="00CA0620"/>
    <w:rsid w:val="00CA6C5C"/>
    <w:rsid w:val="00CD332C"/>
    <w:rsid w:val="00CD7BDC"/>
    <w:rsid w:val="00CE4982"/>
    <w:rsid w:val="00CF0DA9"/>
    <w:rsid w:val="00D11EF1"/>
    <w:rsid w:val="00D32528"/>
    <w:rsid w:val="00D51151"/>
    <w:rsid w:val="00D51249"/>
    <w:rsid w:val="00D7622B"/>
    <w:rsid w:val="00D91634"/>
    <w:rsid w:val="00D96225"/>
    <w:rsid w:val="00DB6C5E"/>
    <w:rsid w:val="00DC3283"/>
    <w:rsid w:val="00DC60BC"/>
    <w:rsid w:val="00DD69EC"/>
    <w:rsid w:val="00DE13C5"/>
    <w:rsid w:val="00DE304A"/>
    <w:rsid w:val="00DE33B9"/>
    <w:rsid w:val="00DE4897"/>
    <w:rsid w:val="00DE775D"/>
    <w:rsid w:val="00E14A50"/>
    <w:rsid w:val="00E43505"/>
    <w:rsid w:val="00E67858"/>
    <w:rsid w:val="00EC1CC6"/>
    <w:rsid w:val="00ED1042"/>
    <w:rsid w:val="00EE324D"/>
    <w:rsid w:val="00EE4023"/>
    <w:rsid w:val="00F23801"/>
    <w:rsid w:val="00F2508D"/>
    <w:rsid w:val="00F266B9"/>
    <w:rsid w:val="00F47AAF"/>
    <w:rsid w:val="00F52BD5"/>
    <w:rsid w:val="00F545E4"/>
    <w:rsid w:val="00F82D1D"/>
    <w:rsid w:val="00F975F0"/>
    <w:rsid w:val="00FD1246"/>
    <w:rsid w:val="00FD4954"/>
    <w:rsid w:val="00FE03A7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A0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B56A5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autoRedefine/>
    <w:uiPriority w:val="9"/>
    <w:semiHidden/>
    <w:unhideWhenUsed/>
    <w:qFormat/>
    <w:rsid w:val="008B56A5"/>
    <w:pPr>
      <w:keepNext/>
      <w:keepLines/>
      <w:suppressAutoHyphens w:val="0"/>
      <w:spacing w:before="40"/>
      <w:outlineLvl w:val="1"/>
    </w:pPr>
    <w:rPr>
      <w:rFonts w:ascii="Arial" w:eastAsiaTheme="majorEastAsia" w:hAnsi="Arial" w:cstheme="majorBidi"/>
      <w:i/>
      <w:kern w:val="0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56A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56A5"/>
    <w:rPr>
      <w:rFonts w:ascii="Arial" w:eastAsiaTheme="majorEastAsia" w:hAnsi="Arial" w:cstheme="majorBidi"/>
      <w:i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8B5B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5B2F"/>
    <w:rPr>
      <w:rFonts w:ascii="Times New Roman" w:eastAsia="Times New Roman" w:hAnsi="Times New Roman" w:cs="Times New Roman"/>
      <w:kern w:val="1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5B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5B2F"/>
    <w:rPr>
      <w:rFonts w:ascii="Times New Roman" w:eastAsia="Times New Roman" w:hAnsi="Times New Roman" w:cs="Times New Roman"/>
      <w:kern w:val="1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C5E0C"/>
    <w:pPr>
      <w:ind w:left="720"/>
      <w:contextualSpacing/>
    </w:pPr>
  </w:style>
  <w:style w:type="paragraph" w:styleId="Kpalrs">
    <w:name w:val="caption"/>
    <w:basedOn w:val="Norml"/>
    <w:next w:val="Norml"/>
    <w:uiPriority w:val="35"/>
    <w:unhideWhenUsed/>
    <w:qFormat/>
    <w:rsid w:val="002D27E9"/>
    <w:pPr>
      <w:spacing w:after="200"/>
    </w:pPr>
    <w:rPr>
      <w:i/>
      <w:iCs/>
      <w:color w:val="44546A" w:themeColor="text2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902B57"/>
    <w:pPr>
      <w:suppressAutoHyphens w:val="0"/>
      <w:spacing w:before="100" w:beforeAutospacing="1" w:after="100" w:afterAutospacing="1"/>
    </w:pPr>
    <w:rPr>
      <w:kern w:val="0"/>
    </w:rPr>
  </w:style>
  <w:style w:type="character" w:styleId="Hiperhivatkozs">
    <w:name w:val="Hyperlink"/>
    <w:basedOn w:val="Bekezdsalapbettpusa"/>
    <w:uiPriority w:val="99"/>
    <w:unhideWhenUsed/>
    <w:rsid w:val="000016B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8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80D"/>
    <w:rPr>
      <w:rFonts w:ascii="Segoe UI" w:eastAsia="Times New Roman" w:hAnsi="Segoe UI" w:cs="Segoe UI"/>
      <w:kern w:val="1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6547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65473"/>
    <w:rPr>
      <w:rFonts w:ascii="Times New Roman" w:eastAsia="Times New Roman" w:hAnsi="Times New Roman" w:cs="Times New Roman"/>
      <w:kern w:val="1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654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A0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B56A5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autoRedefine/>
    <w:uiPriority w:val="9"/>
    <w:semiHidden/>
    <w:unhideWhenUsed/>
    <w:qFormat/>
    <w:rsid w:val="008B56A5"/>
    <w:pPr>
      <w:keepNext/>
      <w:keepLines/>
      <w:suppressAutoHyphens w:val="0"/>
      <w:spacing w:before="40"/>
      <w:outlineLvl w:val="1"/>
    </w:pPr>
    <w:rPr>
      <w:rFonts w:ascii="Arial" w:eastAsiaTheme="majorEastAsia" w:hAnsi="Arial" w:cstheme="majorBidi"/>
      <w:i/>
      <w:kern w:val="0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56A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56A5"/>
    <w:rPr>
      <w:rFonts w:ascii="Arial" w:eastAsiaTheme="majorEastAsia" w:hAnsi="Arial" w:cstheme="majorBidi"/>
      <w:i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8B5B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5B2F"/>
    <w:rPr>
      <w:rFonts w:ascii="Times New Roman" w:eastAsia="Times New Roman" w:hAnsi="Times New Roman" w:cs="Times New Roman"/>
      <w:kern w:val="1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5B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5B2F"/>
    <w:rPr>
      <w:rFonts w:ascii="Times New Roman" w:eastAsia="Times New Roman" w:hAnsi="Times New Roman" w:cs="Times New Roman"/>
      <w:kern w:val="1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C5E0C"/>
    <w:pPr>
      <w:ind w:left="720"/>
      <w:contextualSpacing/>
    </w:pPr>
  </w:style>
  <w:style w:type="paragraph" w:styleId="Kpalrs">
    <w:name w:val="caption"/>
    <w:basedOn w:val="Norml"/>
    <w:next w:val="Norml"/>
    <w:uiPriority w:val="35"/>
    <w:unhideWhenUsed/>
    <w:qFormat/>
    <w:rsid w:val="002D27E9"/>
    <w:pPr>
      <w:spacing w:after="200"/>
    </w:pPr>
    <w:rPr>
      <w:i/>
      <w:iCs/>
      <w:color w:val="44546A" w:themeColor="text2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902B57"/>
    <w:pPr>
      <w:suppressAutoHyphens w:val="0"/>
      <w:spacing w:before="100" w:beforeAutospacing="1" w:after="100" w:afterAutospacing="1"/>
    </w:pPr>
    <w:rPr>
      <w:kern w:val="0"/>
    </w:rPr>
  </w:style>
  <w:style w:type="character" w:styleId="Hiperhivatkozs">
    <w:name w:val="Hyperlink"/>
    <w:basedOn w:val="Bekezdsalapbettpusa"/>
    <w:uiPriority w:val="99"/>
    <w:unhideWhenUsed/>
    <w:rsid w:val="000016B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8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80D"/>
    <w:rPr>
      <w:rFonts w:ascii="Segoe UI" w:eastAsia="Times New Roman" w:hAnsi="Segoe UI" w:cs="Segoe UI"/>
      <w:kern w:val="1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6547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65473"/>
    <w:rPr>
      <w:rFonts w:ascii="Times New Roman" w:eastAsia="Times New Roman" w:hAnsi="Times New Roman" w:cs="Times New Roman"/>
      <w:kern w:val="1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65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au.gau.hu/miau/177/Varga_Zoltan_Diplomadolgozat_2012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0B5XVxTPHc-zaTEVjem9YSDlSa28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au.gau.hu/miau/198/veletlen_e_a_veletlen_v2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oli\Desktop\&#218;j%20Microsoft%20Excel-munkala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oli\Desktop\t&#337;zsdek&#237;s&#233;rletek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0" i="0" u="none" strike="noStrike" baseline="0">
                <a:effectLst/>
              </a:rPr>
              <a:t>Klasszikus előrejelző modell eredményei nyersolaj kereskedési árelőrejelzésére</a:t>
            </a:r>
            <a:endParaRPr lang="hu-HU" b="0" i="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Nyitóérték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Munka1!$A$2:$A$26</c:f>
              <c:strCache>
                <c:ptCount val="25"/>
                <c:pt idx="0">
                  <c:v>2014/1</c:v>
                </c:pt>
                <c:pt idx="1">
                  <c:v>2014/2</c:v>
                </c:pt>
                <c:pt idx="2">
                  <c:v>2014/3</c:v>
                </c:pt>
                <c:pt idx="3">
                  <c:v>2014/4</c:v>
                </c:pt>
                <c:pt idx="4">
                  <c:v>2014/5</c:v>
                </c:pt>
                <c:pt idx="5">
                  <c:v>2014/6</c:v>
                </c:pt>
                <c:pt idx="6">
                  <c:v>2014/7</c:v>
                </c:pt>
                <c:pt idx="7">
                  <c:v>2014/8</c:v>
                </c:pt>
                <c:pt idx="8">
                  <c:v>2014/9</c:v>
                </c:pt>
                <c:pt idx="9">
                  <c:v>2014/10</c:v>
                </c:pt>
                <c:pt idx="10">
                  <c:v>2014/11</c:v>
                </c:pt>
                <c:pt idx="11">
                  <c:v>2014/12</c:v>
                </c:pt>
                <c:pt idx="12">
                  <c:v>2014/13</c:v>
                </c:pt>
                <c:pt idx="13">
                  <c:v>2014/14</c:v>
                </c:pt>
                <c:pt idx="14">
                  <c:v>2014/15</c:v>
                </c:pt>
                <c:pt idx="15">
                  <c:v>2014/16</c:v>
                </c:pt>
                <c:pt idx="16">
                  <c:v>2014/17</c:v>
                </c:pt>
                <c:pt idx="17">
                  <c:v>2014/18</c:v>
                </c:pt>
                <c:pt idx="18">
                  <c:v>2014/19</c:v>
                </c:pt>
                <c:pt idx="19">
                  <c:v>2014/20</c:v>
                </c:pt>
                <c:pt idx="20">
                  <c:v>2014/21</c:v>
                </c:pt>
                <c:pt idx="21">
                  <c:v>2014/22</c:v>
                </c:pt>
                <c:pt idx="22">
                  <c:v>2014/23</c:v>
                </c:pt>
                <c:pt idx="23">
                  <c:v>2014/24</c:v>
                </c:pt>
                <c:pt idx="24">
                  <c:v>2014/25</c:v>
                </c:pt>
              </c:strCache>
            </c:strRef>
          </c:cat>
          <c:val>
            <c:numRef>
              <c:f>Munka1!$B$2:$B$26</c:f>
              <c:numCache>
                <c:formatCode>0.00%</c:formatCode>
                <c:ptCount val="25"/>
                <c:pt idx="0">
                  <c:v>0.91390000000000005</c:v>
                </c:pt>
                <c:pt idx="1">
                  <c:v>0.94169999999999998</c:v>
                </c:pt>
                <c:pt idx="2">
                  <c:v>0.90249999999999997</c:v>
                </c:pt>
                <c:pt idx="3">
                  <c:v>0.88029999999999997</c:v>
                </c:pt>
                <c:pt idx="4">
                  <c:v>0.90810000000000002</c:v>
                </c:pt>
                <c:pt idx="5">
                  <c:v>0.93879999999999997</c:v>
                </c:pt>
                <c:pt idx="6">
                  <c:v>0.97850000000000004</c:v>
                </c:pt>
                <c:pt idx="7">
                  <c:v>1.0577000000000001</c:v>
                </c:pt>
                <c:pt idx="8">
                  <c:v>1.0301</c:v>
                </c:pt>
                <c:pt idx="9">
                  <c:v>1.0804</c:v>
                </c:pt>
                <c:pt idx="10">
                  <c:v>1.0935999999999999</c:v>
                </c:pt>
                <c:pt idx="11">
                  <c:v>1.1108</c:v>
                </c:pt>
                <c:pt idx="12">
                  <c:v>1.0132000000000001</c:v>
                </c:pt>
                <c:pt idx="13">
                  <c:v>1.0376000000000001</c:v>
                </c:pt>
                <c:pt idx="14">
                  <c:v>1.0377000000000001</c:v>
                </c:pt>
                <c:pt idx="15">
                  <c:v>1.0183</c:v>
                </c:pt>
                <c:pt idx="16">
                  <c:v>1.1201000000000001</c:v>
                </c:pt>
                <c:pt idx="17">
                  <c:v>1.1452</c:v>
                </c:pt>
                <c:pt idx="18">
                  <c:v>1.0962000000000001</c:v>
                </c:pt>
                <c:pt idx="19">
                  <c:v>1.0616000000000001</c:v>
                </c:pt>
                <c:pt idx="20">
                  <c:v>1.0584</c:v>
                </c:pt>
                <c:pt idx="21">
                  <c:v>1.0527</c:v>
                </c:pt>
                <c:pt idx="22">
                  <c:v>1.0843</c:v>
                </c:pt>
                <c:pt idx="23">
                  <c:v>1.0418000000000001</c:v>
                </c:pt>
                <c:pt idx="24">
                  <c:v>1.0339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Legmagasabb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Munka1!$A$2:$A$26</c:f>
              <c:strCache>
                <c:ptCount val="25"/>
                <c:pt idx="0">
                  <c:v>2014/1</c:v>
                </c:pt>
                <c:pt idx="1">
                  <c:v>2014/2</c:v>
                </c:pt>
                <c:pt idx="2">
                  <c:v>2014/3</c:v>
                </c:pt>
                <c:pt idx="3">
                  <c:v>2014/4</c:v>
                </c:pt>
                <c:pt idx="4">
                  <c:v>2014/5</c:v>
                </c:pt>
                <c:pt idx="5">
                  <c:v>2014/6</c:v>
                </c:pt>
                <c:pt idx="6">
                  <c:v>2014/7</c:v>
                </c:pt>
                <c:pt idx="7">
                  <c:v>2014/8</c:v>
                </c:pt>
                <c:pt idx="8">
                  <c:v>2014/9</c:v>
                </c:pt>
                <c:pt idx="9">
                  <c:v>2014/10</c:v>
                </c:pt>
                <c:pt idx="10">
                  <c:v>2014/11</c:v>
                </c:pt>
                <c:pt idx="11">
                  <c:v>2014/12</c:v>
                </c:pt>
                <c:pt idx="12">
                  <c:v>2014/13</c:v>
                </c:pt>
                <c:pt idx="13">
                  <c:v>2014/14</c:v>
                </c:pt>
                <c:pt idx="14">
                  <c:v>2014/15</c:v>
                </c:pt>
                <c:pt idx="15">
                  <c:v>2014/16</c:v>
                </c:pt>
                <c:pt idx="16">
                  <c:v>2014/17</c:v>
                </c:pt>
                <c:pt idx="17">
                  <c:v>2014/18</c:v>
                </c:pt>
                <c:pt idx="18">
                  <c:v>2014/19</c:v>
                </c:pt>
                <c:pt idx="19">
                  <c:v>2014/20</c:v>
                </c:pt>
                <c:pt idx="20">
                  <c:v>2014/21</c:v>
                </c:pt>
                <c:pt idx="21">
                  <c:v>2014/22</c:v>
                </c:pt>
                <c:pt idx="22">
                  <c:v>2014/23</c:v>
                </c:pt>
                <c:pt idx="23">
                  <c:v>2014/24</c:v>
                </c:pt>
                <c:pt idx="24">
                  <c:v>2014/25</c:v>
                </c:pt>
              </c:strCache>
            </c:strRef>
          </c:cat>
          <c:val>
            <c:numRef>
              <c:f>Munka1!$C$2:$C$26</c:f>
              <c:numCache>
                <c:formatCode>0.00%</c:formatCode>
                <c:ptCount val="25"/>
                <c:pt idx="0">
                  <c:v>0.91659999999999997</c:v>
                </c:pt>
                <c:pt idx="1">
                  <c:v>0.94069999999999998</c:v>
                </c:pt>
                <c:pt idx="2">
                  <c:v>0.88519999999999999</c:v>
                </c:pt>
                <c:pt idx="3">
                  <c:v>0.8921</c:v>
                </c:pt>
                <c:pt idx="4">
                  <c:v>0.9224</c:v>
                </c:pt>
                <c:pt idx="5">
                  <c:v>0.9446</c:v>
                </c:pt>
                <c:pt idx="6">
                  <c:v>1.0081</c:v>
                </c:pt>
                <c:pt idx="7">
                  <c:v>1.0362</c:v>
                </c:pt>
                <c:pt idx="8">
                  <c:v>1.0631999999999999</c:v>
                </c:pt>
                <c:pt idx="9">
                  <c:v>1.0761000000000001</c:v>
                </c:pt>
                <c:pt idx="10">
                  <c:v>1.1117999999999999</c:v>
                </c:pt>
                <c:pt idx="11">
                  <c:v>1.0476000000000001</c:v>
                </c:pt>
                <c:pt idx="12">
                  <c:v>1.0196000000000001</c:v>
                </c:pt>
                <c:pt idx="13">
                  <c:v>1.0385</c:v>
                </c:pt>
                <c:pt idx="14">
                  <c:v>1.0234000000000001</c:v>
                </c:pt>
                <c:pt idx="15">
                  <c:v>1.0532999999999999</c:v>
                </c:pt>
                <c:pt idx="16">
                  <c:v>1.1291</c:v>
                </c:pt>
                <c:pt idx="17">
                  <c:v>1.1166</c:v>
                </c:pt>
                <c:pt idx="18">
                  <c:v>1.0719000000000001</c:v>
                </c:pt>
                <c:pt idx="19">
                  <c:v>1.0508</c:v>
                </c:pt>
                <c:pt idx="20">
                  <c:v>1.052</c:v>
                </c:pt>
                <c:pt idx="21">
                  <c:v>1.0664</c:v>
                </c:pt>
                <c:pt idx="22">
                  <c:v>1.0432999999999999</c:v>
                </c:pt>
                <c:pt idx="23">
                  <c:v>1.0307999999999999</c:v>
                </c:pt>
                <c:pt idx="24">
                  <c:v>1.0672999999999999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Legalacsonyabb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Munka1!$A$2:$A$26</c:f>
              <c:strCache>
                <c:ptCount val="25"/>
                <c:pt idx="0">
                  <c:v>2014/1</c:v>
                </c:pt>
                <c:pt idx="1">
                  <c:v>2014/2</c:v>
                </c:pt>
                <c:pt idx="2">
                  <c:v>2014/3</c:v>
                </c:pt>
                <c:pt idx="3">
                  <c:v>2014/4</c:v>
                </c:pt>
                <c:pt idx="4">
                  <c:v>2014/5</c:v>
                </c:pt>
                <c:pt idx="5">
                  <c:v>2014/6</c:v>
                </c:pt>
                <c:pt idx="6">
                  <c:v>2014/7</c:v>
                </c:pt>
                <c:pt idx="7">
                  <c:v>2014/8</c:v>
                </c:pt>
                <c:pt idx="8">
                  <c:v>2014/9</c:v>
                </c:pt>
                <c:pt idx="9">
                  <c:v>2014/10</c:v>
                </c:pt>
                <c:pt idx="10">
                  <c:v>2014/11</c:v>
                </c:pt>
                <c:pt idx="11">
                  <c:v>2014/12</c:v>
                </c:pt>
                <c:pt idx="12">
                  <c:v>2014/13</c:v>
                </c:pt>
                <c:pt idx="13">
                  <c:v>2014/14</c:v>
                </c:pt>
                <c:pt idx="14">
                  <c:v>2014/15</c:v>
                </c:pt>
                <c:pt idx="15">
                  <c:v>2014/16</c:v>
                </c:pt>
                <c:pt idx="16">
                  <c:v>2014/17</c:v>
                </c:pt>
                <c:pt idx="17">
                  <c:v>2014/18</c:v>
                </c:pt>
                <c:pt idx="18">
                  <c:v>2014/19</c:v>
                </c:pt>
                <c:pt idx="19">
                  <c:v>2014/20</c:v>
                </c:pt>
                <c:pt idx="20">
                  <c:v>2014/21</c:v>
                </c:pt>
                <c:pt idx="21">
                  <c:v>2014/22</c:v>
                </c:pt>
                <c:pt idx="22">
                  <c:v>2014/23</c:v>
                </c:pt>
                <c:pt idx="23">
                  <c:v>2014/24</c:v>
                </c:pt>
                <c:pt idx="24">
                  <c:v>2014/25</c:v>
                </c:pt>
              </c:strCache>
            </c:strRef>
          </c:cat>
          <c:val>
            <c:numRef>
              <c:f>Munka1!$D$2:$D$26</c:f>
              <c:numCache>
                <c:formatCode>0.00%</c:formatCode>
                <c:ptCount val="25"/>
                <c:pt idx="0">
                  <c:v>0.93159999999999998</c:v>
                </c:pt>
                <c:pt idx="1">
                  <c:v>0.90349999999999997</c:v>
                </c:pt>
                <c:pt idx="2">
                  <c:v>0.88570000000000004</c:v>
                </c:pt>
                <c:pt idx="3">
                  <c:v>0.89180000000000004</c:v>
                </c:pt>
                <c:pt idx="4">
                  <c:v>0.91479999999999995</c:v>
                </c:pt>
                <c:pt idx="5">
                  <c:v>0.97929999999999995</c:v>
                </c:pt>
                <c:pt idx="6">
                  <c:v>1.0072000000000001</c:v>
                </c:pt>
                <c:pt idx="7">
                  <c:v>1.0387999999999999</c:v>
                </c:pt>
                <c:pt idx="8">
                  <c:v>1.0706</c:v>
                </c:pt>
                <c:pt idx="9">
                  <c:v>1.0833999999999999</c:v>
                </c:pt>
                <c:pt idx="10">
                  <c:v>1.0924</c:v>
                </c:pt>
                <c:pt idx="11">
                  <c:v>1.0527</c:v>
                </c:pt>
                <c:pt idx="12">
                  <c:v>1.0096000000000001</c:v>
                </c:pt>
                <c:pt idx="13">
                  <c:v>1.0354000000000001</c:v>
                </c:pt>
                <c:pt idx="14">
                  <c:v>1.0148999999999999</c:v>
                </c:pt>
                <c:pt idx="15">
                  <c:v>1.0817000000000001</c:v>
                </c:pt>
                <c:pt idx="16">
                  <c:v>1.1435999999999999</c:v>
                </c:pt>
                <c:pt idx="17">
                  <c:v>1.1325000000000001</c:v>
                </c:pt>
                <c:pt idx="18">
                  <c:v>1.0854999999999999</c:v>
                </c:pt>
                <c:pt idx="19">
                  <c:v>1.0742</c:v>
                </c:pt>
                <c:pt idx="20">
                  <c:v>1.0767</c:v>
                </c:pt>
                <c:pt idx="21">
                  <c:v>1.0742</c:v>
                </c:pt>
                <c:pt idx="22">
                  <c:v>1.075</c:v>
                </c:pt>
                <c:pt idx="23">
                  <c:v>1.0498000000000001</c:v>
                </c:pt>
                <c:pt idx="24">
                  <c:v>1.0773999999999999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Záróérték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Munka1!$A$2:$A$26</c:f>
              <c:strCache>
                <c:ptCount val="25"/>
                <c:pt idx="0">
                  <c:v>2014/1</c:v>
                </c:pt>
                <c:pt idx="1">
                  <c:v>2014/2</c:v>
                </c:pt>
                <c:pt idx="2">
                  <c:v>2014/3</c:v>
                </c:pt>
                <c:pt idx="3">
                  <c:v>2014/4</c:v>
                </c:pt>
                <c:pt idx="4">
                  <c:v>2014/5</c:v>
                </c:pt>
                <c:pt idx="5">
                  <c:v>2014/6</c:v>
                </c:pt>
                <c:pt idx="6">
                  <c:v>2014/7</c:v>
                </c:pt>
                <c:pt idx="7">
                  <c:v>2014/8</c:v>
                </c:pt>
                <c:pt idx="8">
                  <c:v>2014/9</c:v>
                </c:pt>
                <c:pt idx="9">
                  <c:v>2014/10</c:v>
                </c:pt>
                <c:pt idx="10">
                  <c:v>2014/11</c:v>
                </c:pt>
                <c:pt idx="11">
                  <c:v>2014/12</c:v>
                </c:pt>
                <c:pt idx="12">
                  <c:v>2014/13</c:v>
                </c:pt>
                <c:pt idx="13">
                  <c:v>2014/14</c:v>
                </c:pt>
                <c:pt idx="14">
                  <c:v>2014/15</c:v>
                </c:pt>
                <c:pt idx="15">
                  <c:v>2014/16</c:v>
                </c:pt>
                <c:pt idx="16">
                  <c:v>2014/17</c:v>
                </c:pt>
                <c:pt idx="17">
                  <c:v>2014/18</c:v>
                </c:pt>
                <c:pt idx="18">
                  <c:v>2014/19</c:v>
                </c:pt>
                <c:pt idx="19">
                  <c:v>2014/20</c:v>
                </c:pt>
                <c:pt idx="20">
                  <c:v>2014/21</c:v>
                </c:pt>
                <c:pt idx="21">
                  <c:v>2014/22</c:v>
                </c:pt>
                <c:pt idx="22">
                  <c:v>2014/23</c:v>
                </c:pt>
                <c:pt idx="23">
                  <c:v>2014/24</c:v>
                </c:pt>
                <c:pt idx="24">
                  <c:v>2014/25</c:v>
                </c:pt>
              </c:strCache>
            </c:strRef>
          </c:cat>
          <c:val>
            <c:numRef>
              <c:f>Munka1!$E$2:$E$26</c:f>
              <c:numCache>
                <c:formatCode>0.00%</c:formatCode>
                <c:ptCount val="25"/>
                <c:pt idx="0">
                  <c:v>0.94489999999999996</c:v>
                </c:pt>
                <c:pt idx="1">
                  <c:v>0.89680000000000004</c:v>
                </c:pt>
                <c:pt idx="2">
                  <c:v>0.87539999999999996</c:v>
                </c:pt>
                <c:pt idx="3">
                  <c:v>0.90669999999999995</c:v>
                </c:pt>
                <c:pt idx="4">
                  <c:v>0.93510000000000004</c:v>
                </c:pt>
                <c:pt idx="5">
                  <c:v>0.97989999999999999</c:v>
                </c:pt>
                <c:pt idx="6">
                  <c:v>1.0559000000000001</c:v>
                </c:pt>
                <c:pt idx="7">
                  <c:v>1.0266999999999999</c:v>
                </c:pt>
                <c:pt idx="8">
                  <c:v>1.071</c:v>
                </c:pt>
                <c:pt idx="9">
                  <c:v>1.0803</c:v>
                </c:pt>
                <c:pt idx="10">
                  <c:v>1.1088</c:v>
                </c:pt>
                <c:pt idx="11">
                  <c:v>1.0078</c:v>
                </c:pt>
                <c:pt idx="12">
                  <c:v>1.0366</c:v>
                </c:pt>
                <c:pt idx="13">
                  <c:v>1.0354000000000001</c:v>
                </c:pt>
                <c:pt idx="14">
                  <c:v>1.0192000000000001</c:v>
                </c:pt>
                <c:pt idx="15">
                  <c:v>1.1237999999999999</c:v>
                </c:pt>
                <c:pt idx="16">
                  <c:v>1.1367</c:v>
                </c:pt>
                <c:pt idx="17">
                  <c:v>1.0911999999999999</c:v>
                </c:pt>
                <c:pt idx="18">
                  <c:v>1.0607</c:v>
                </c:pt>
                <c:pt idx="19">
                  <c:v>1.0543</c:v>
                </c:pt>
                <c:pt idx="20">
                  <c:v>1.0516000000000001</c:v>
                </c:pt>
                <c:pt idx="21">
                  <c:v>1.0824</c:v>
                </c:pt>
                <c:pt idx="22">
                  <c:v>1.038</c:v>
                </c:pt>
                <c:pt idx="23">
                  <c:v>1.0335000000000001</c:v>
                </c:pt>
                <c:pt idx="24">
                  <c:v>1.0851999999999999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02688"/>
        <c:axId val="170008576"/>
      </c:lineChart>
      <c:catAx>
        <c:axId val="17000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70008576"/>
        <c:crosses val="autoZero"/>
        <c:auto val="1"/>
        <c:lblAlgn val="ctr"/>
        <c:lblOffset val="100"/>
        <c:noMultiLvlLbl val="0"/>
      </c:catAx>
      <c:valAx>
        <c:axId val="170008576"/>
        <c:scaling>
          <c:orientation val="minMax"/>
          <c:min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7000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Nyersolaj</a:t>
            </a:r>
            <a:r>
              <a:rPr lang="hu-HU" baseline="0"/>
              <a:t> kereskedési árának nyitó értéke ($/hordó)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'Crude Futures'!$C$1</c:f>
              <c:strCache>
                <c:ptCount val="1"/>
                <c:pt idx="0">
                  <c:v>Open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poly"/>
            <c:order val="6"/>
            <c:dispRSqr val="0"/>
            <c:dispEq val="0"/>
          </c:trendline>
          <c:cat>
            <c:numRef>
              <c:f>'Crude Futures'!$A$2:$A$210</c:f>
              <c:numCache>
                <c:formatCode>m/d/yyyy</c:formatCode>
                <c:ptCount val="209"/>
                <c:pt idx="0">
                  <c:v>40354</c:v>
                </c:pt>
                <c:pt idx="1">
                  <c:v>40361</c:v>
                </c:pt>
                <c:pt idx="2">
                  <c:v>40368</c:v>
                </c:pt>
                <c:pt idx="3">
                  <c:v>40375</c:v>
                </c:pt>
                <c:pt idx="4">
                  <c:v>40382</c:v>
                </c:pt>
                <c:pt idx="5">
                  <c:v>40389</c:v>
                </c:pt>
                <c:pt idx="6">
                  <c:v>40396</c:v>
                </c:pt>
                <c:pt idx="7">
                  <c:v>40403</c:v>
                </c:pt>
                <c:pt idx="8">
                  <c:v>40410</c:v>
                </c:pt>
                <c:pt idx="9">
                  <c:v>40417</c:v>
                </c:pt>
                <c:pt idx="10">
                  <c:v>40424</c:v>
                </c:pt>
                <c:pt idx="11">
                  <c:v>40431</c:v>
                </c:pt>
                <c:pt idx="12">
                  <c:v>40438</c:v>
                </c:pt>
                <c:pt idx="13">
                  <c:v>40445</c:v>
                </c:pt>
                <c:pt idx="14">
                  <c:v>40452</c:v>
                </c:pt>
                <c:pt idx="15">
                  <c:v>40459</c:v>
                </c:pt>
                <c:pt idx="16">
                  <c:v>40466</c:v>
                </c:pt>
                <c:pt idx="17">
                  <c:v>40473</c:v>
                </c:pt>
                <c:pt idx="18">
                  <c:v>40480</c:v>
                </c:pt>
                <c:pt idx="19">
                  <c:v>40487</c:v>
                </c:pt>
                <c:pt idx="20">
                  <c:v>40494</c:v>
                </c:pt>
                <c:pt idx="21">
                  <c:v>40501</c:v>
                </c:pt>
                <c:pt idx="22">
                  <c:v>40508</c:v>
                </c:pt>
                <c:pt idx="23">
                  <c:v>40515</c:v>
                </c:pt>
                <c:pt idx="24">
                  <c:v>40522</c:v>
                </c:pt>
                <c:pt idx="25">
                  <c:v>40529</c:v>
                </c:pt>
                <c:pt idx="26">
                  <c:v>40536</c:v>
                </c:pt>
                <c:pt idx="27">
                  <c:v>40543</c:v>
                </c:pt>
                <c:pt idx="28">
                  <c:v>40550</c:v>
                </c:pt>
                <c:pt idx="29">
                  <c:v>40557</c:v>
                </c:pt>
                <c:pt idx="30">
                  <c:v>40564</c:v>
                </c:pt>
                <c:pt idx="31">
                  <c:v>40571</c:v>
                </c:pt>
                <c:pt idx="32">
                  <c:v>40578</c:v>
                </c:pt>
                <c:pt idx="33">
                  <c:v>40585</c:v>
                </c:pt>
                <c:pt idx="34">
                  <c:v>40592</c:v>
                </c:pt>
                <c:pt idx="35">
                  <c:v>40599</c:v>
                </c:pt>
                <c:pt idx="36">
                  <c:v>40606</c:v>
                </c:pt>
                <c:pt idx="37">
                  <c:v>40613</c:v>
                </c:pt>
                <c:pt idx="38">
                  <c:v>40620</c:v>
                </c:pt>
                <c:pt idx="39">
                  <c:v>40627</c:v>
                </c:pt>
                <c:pt idx="40">
                  <c:v>40634</c:v>
                </c:pt>
                <c:pt idx="41">
                  <c:v>40641</c:v>
                </c:pt>
                <c:pt idx="42">
                  <c:v>40648</c:v>
                </c:pt>
                <c:pt idx="43">
                  <c:v>40655</c:v>
                </c:pt>
                <c:pt idx="44">
                  <c:v>40662</c:v>
                </c:pt>
                <c:pt idx="45">
                  <c:v>40669</c:v>
                </c:pt>
                <c:pt idx="46">
                  <c:v>40676</c:v>
                </c:pt>
                <c:pt idx="47">
                  <c:v>40683</c:v>
                </c:pt>
                <c:pt idx="48">
                  <c:v>40690</c:v>
                </c:pt>
                <c:pt idx="49">
                  <c:v>40697</c:v>
                </c:pt>
                <c:pt idx="50">
                  <c:v>40704</c:v>
                </c:pt>
                <c:pt idx="51">
                  <c:v>40711</c:v>
                </c:pt>
                <c:pt idx="52">
                  <c:v>40718</c:v>
                </c:pt>
                <c:pt idx="53">
                  <c:v>40725</c:v>
                </c:pt>
                <c:pt idx="54">
                  <c:v>40732</c:v>
                </c:pt>
                <c:pt idx="55">
                  <c:v>40739</c:v>
                </c:pt>
                <c:pt idx="56">
                  <c:v>40746</c:v>
                </c:pt>
                <c:pt idx="57">
                  <c:v>40753</c:v>
                </c:pt>
                <c:pt idx="58">
                  <c:v>40760</c:v>
                </c:pt>
                <c:pt idx="59">
                  <c:v>40767</c:v>
                </c:pt>
                <c:pt idx="60">
                  <c:v>40774</c:v>
                </c:pt>
                <c:pt idx="61">
                  <c:v>40781</c:v>
                </c:pt>
                <c:pt idx="62">
                  <c:v>40788</c:v>
                </c:pt>
                <c:pt idx="63">
                  <c:v>40795</c:v>
                </c:pt>
                <c:pt idx="64">
                  <c:v>40802</c:v>
                </c:pt>
                <c:pt idx="65">
                  <c:v>40809</c:v>
                </c:pt>
                <c:pt idx="66">
                  <c:v>40816</c:v>
                </c:pt>
                <c:pt idx="67">
                  <c:v>40823</c:v>
                </c:pt>
                <c:pt idx="68">
                  <c:v>40830</c:v>
                </c:pt>
                <c:pt idx="69">
                  <c:v>40837</c:v>
                </c:pt>
                <c:pt idx="70">
                  <c:v>40844</c:v>
                </c:pt>
                <c:pt idx="71">
                  <c:v>40851</c:v>
                </c:pt>
                <c:pt idx="72">
                  <c:v>40858</c:v>
                </c:pt>
                <c:pt idx="73">
                  <c:v>40865</c:v>
                </c:pt>
                <c:pt idx="74">
                  <c:v>40872</c:v>
                </c:pt>
                <c:pt idx="75">
                  <c:v>40879</c:v>
                </c:pt>
                <c:pt idx="76">
                  <c:v>40886</c:v>
                </c:pt>
                <c:pt idx="77">
                  <c:v>40893</c:v>
                </c:pt>
                <c:pt idx="78">
                  <c:v>40900</c:v>
                </c:pt>
                <c:pt idx="79">
                  <c:v>40907</c:v>
                </c:pt>
                <c:pt idx="80">
                  <c:v>40914</c:v>
                </c:pt>
                <c:pt idx="81">
                  <c:v>40921</c:v>
                </c:pt>
                <c:pt idx="82">
                  <c:v>40928</c:v>
                </c:pt>
                <c:pt idx="83">
                  <c:v>40935</c:v>
                </c:pt>
                <c:pt idx="84">
                  <c:v>40942</c:v>
                </c:pt>
                <c:pt idx="85">
                  <c:v>40949</c:v>
                </c:pt>
                <c:pt idx="86">
                  <c:v>40956</c:v>
                </c:pt>
                <c:pt idx="87">
                  <c:v>40963</c:v>
                </c:pt>
                <c:pt idx="88">
                  <c:v>40970</c:v>
                </c:pt>
                <c:pt idx="89">
                  <c:v>40977</c:v>
                </c:pt>
                <c:pt idx="90">
                  <c:v>40984</c:v>
                </c:pt>
                <c:pt idx="91">
                  <c:v>40991</c:v>
                </c:pt>
                <c:pt idx="92">
                  <c:v>40998</c:v>
                </c:pt>
                <c:pt idx="93">
                  <c:v>41005</c:v>
                </c:pt>
                <c:pt idx="94">
                  <c:v>41012</c:v>
                </c:pt>
                <c:pt idx="95">
                  <c:v>41019</c:v>
                </c:pt>
                <c:pt idx="96">
                  <c:v>41026</c:v>
                </c:pt>
                <c:pt idx="97">
                  <c:v>41033</c:v>
                </c:pt>
                <c:pt idx="98">
                  <c:v>41040</c:v>
                </c:pt>
                <c:pt idx="99">
                  <c:v>41047</c:v>
                </c:pt>
                <c:pt idx="100">
                  <c:v>41054</c:v>
                </c:pt>
                <c:pt idx="101">
                  <c:v>41061</c:v>
                </c:pt>
                <c:pt idx="102">
                  <c:v>41068</c:v>
                </c:pt>
                <c:pt idx="103">
                  <c:v>41075</c:v>
                </c:pt>
                <c:pt idx="104">
                  <c:v>41082</c:v>
                </c:pt>
                <c:pt idx="105">
                  <c:v>41089</c:v>
                </c:pt>
                <c:pt idx="106">
                  <c:v>41096</c:v>
                </c:pt>
                <c:pt idx="107">
                  <c:v>41103</c:v>
                </c:pt>
                <c:pt idx="108">
                  <c:v>41110</c:v>
                </c:pt>
                <c:pt idx="109">
                  <c:v>41117</c:v>
                </c:pt>
                <c:pt idx="110">
                  <c:v>41124</c:v>
                </c:pt>
                <c:pt idx="111">
                  <c:v>41131</c:v>
                </c:pt>
                <c:pt idx="112">
                  <c:v>41138</c:v>
                </c:pt>
                <c:pt idx="113">
                  <c:v>41145</c:v>
                </c:pt>
                <c:pt idx="114">
                  <c:v>41152</c:v>
                </c:pt>
                <c:pt idx="115">
                  <c:v>41159</c:v>
                </c:pt>
                <c:pt idx="116">
                  <c:v>41166</c:v>
                </c:pt>
                <c:pt idx="117">
                  <c:v>41173</c:v>
                </c:pt>
                <c:pt idx="118">
                  <c:v>41180</c:v>
                </c:pt>
                <c:pt idx="119">
                  <c:v>41187</c:v>
                </c:pt>
                <c:pt idx="120">
                  <c:v>41194</c:v>
                </c:pt>
                <c:pt idx="121">
                  <c:v>41201</c:v>
                </c:pt>
                <c:pt idx="122">
                  <c:v>41208</c:v>
                </c:pt>
                <c:pt idx="123">
                  <c:v>41215</c:v>
                </c:pt>
                <c:pt idx="124">
                  <c:v>41222</c:v>
                </c:pt>
                <c:pt idx="125">
                  <c:v>41229</c:v>
                </c:pt>
                <c:pt idx="126">
                  <c:v>41236</c:v>
                </c:pt>
                <c:pt idx="127">
                  <c:v>41243</c:v>
                </c:pt>
                <c:pt idx="128">
                  <c:v>41250</c:v>
                </c:pt>
                <c:pt idx="129">
                  <c:v>41257</c:v>
                </c:pt>
                <c:pt idx="130">
                  <c:v>41264</c:v>
                </c:pt>
                <c:pt idx="131">
                  <c:v>41271</c:v>
                </c:pt>
                <c:pt idx="132">
                  <c:v>41278</c:v>
                </c:pt>
                <c:pt idx="133">
                  <c:v>41285</c:v>
                </c:pt>
                <c:pt idx="134">
                  <c:v>41292</c:v>
                </c:pt>
                <c:pt idx="135">
                  <c:v>41299</c:v>
                </c:pt>
                <c:pt idx="136">
                  <c:v>41306</c:v>
                </c:pt>
                <c:pt idx="137">
                  <c:v>41313</c:v>
                </c:pt>
                <c:pt idx="138">
                  <c:v>41320</c:v>
                </c:pt>
                <c:pt idx="139">
                  <c:v>41327</c:v>
                </c:pt>
                <c:pt idx="140">
                  <c:v>41334</c:v>
                </c:pt>
                <c:pt idx="141">
                  <c:v>41341</c:v>
                </c:pt>
                <c:pt idx="142">
                  <c:v>41348</c:v>
                </c:pt>
                <c:pt idx="143">
                  <c:v>41355</c:v>
                </c:pt>
                <c:pt idx="144">
                  <c:v>41362</c:v>
                </c:pt>
                <c:pt idx="145">
                  <c:v>41369</c:v>
                </c:pt>
                <c:pt idx="146">
                  <c:v>41376</c:v>
                </c:pt>
                <c:pt idx="147">
                  <c:v>41383</c:v>
                </c:pt>
                <c:pt idx="148">
                  <c:v>41390</c:v>
                </c:pt>
                <c:pt idx="149">
                  <c:v>41397</c:v>
                </c:pt>
                <c:pt idx="150">
                  <c:v>41404</c:v>
                </c:pt>
                <c:pt idx="151">
                  <c:v>41411</c:v>
                </c:pt>
                <c:pt idx="152">
                  <c:v>41418</c:v>
                </c:pt>
                <c:pt idx="153">
                  <c:v>41425</c:v>
                </c:pt>
                <c:pt idx="154">
                  <c:v>41432</c:v>
                </c:pt>
                <c:pt idx="155">
                  <c:v>41439</c:v>
                </c:pt>
                <c:pt idx="156">
                  <c:v>41446</c:v>
                </c:pt>
                <c:pt idx="157">
                  <c:v>41453</c:v>
                </c:pt>
                <c:pt idx="158">
                  <c:v>41460</c:v>
                </c:pt>
                <c:pt idx="159">
                  <c:v>41467</c:v>
                </c:pt>
                <c:pt idx="160">
                  <c:v>41474</c:v>
                </c:pt>
                <c:pt idx="161">
                  <c:v>41481</c:v>
                </c:pt>
                <c:pt idx="162">
                  <c:v>41488</c:v>
                </c:pt>
                <c:pt idx="163">
                  <c:v>41495</c:v>
                </c:pt>
                <c:pt idx="164">
                  <c:v>41502</c:v>
                </c:pt>
                <c:pt idx="165">
                  <c:v>41509</c:v>
                </c:pt>
                <c:pt idx="166">
                  <c:v>41516</c:v>
                </c:pt>
                <c:pt idx="167">
                  <c:v>41523</c:v>
                </c:pt>
                <c:pt idx="168">
                  <c:v>41530</c:v>
                </c:pt>
                <c:pt idx="169">
                  <c:v>41537</c:v>
                </c:pt>
                <c:pt idx="170">
                  <c:v>41544</c:v>
                </c:pt>
                <c:pt idx="171">
                  <c:v>41551</c:v>
                </c:pt>
                <c:pt idx="172">
                  <c:v>41558</c:v>
                </c:pt>
                <c:pt idx="173">
                  <c:v>41565</c:v>
                </c:pt>
                <c:pt idx="174">
                  <c:v>41572</c:v>
                </c:pt>
                <c:pt idx="175">
                  <c:v>41579</c:v>
                </c:pt>
                <c:pt idx="176">
                  <c:v>41586</c:v>
                </c:pt>
                <c:pt idx="177">
                  <c:v>41593</c:v>
                </c:pt>
                <c:pt idx="178">
                  <c:v>41600</c:v>
                </c:pt>
                <c:pt idx="179">
                  <c:v>41607</c:v>
                </c:pt>
                <c:pt idx="180">
                  <c:v>41614</c:v>
                </c:pt>
                <c:pt idx="181">
                  <c:v>41621</c:v>
                </c:pt>
                <c:pt idx="182">
                  <c:v>41628</c:v>
                </c:pt>
                <c:pt idx="183">
                  <c:v>41635</c:v>
                </c:pt>
                <c:pt idx="184">
                  <c:v>41642</c:v>
                </c:pt>
                <c:pt idx="185">
                  <c:v>41649</c:v>
                </c:pt>
                <c:pt idx="186">
                  <c:v>41656</c:v>
                </c:pt>
                <c:pt idx="187">
                  <c:v>41663</c:v>
                </c:pt>
                <c:pt idx="188">
                  <c:v>41670</c:v>
                </c:pt>
                <c:pt idx="189">
                  <c:v>41677</c:v>
                </c:pt>
                <c:pt idx="190">
                  <c:v>41684</c:v>
                </c:pt>
                <c:pt idx="191">
                  <c:v>41691</c:v>
                </c:pt>
                <c:pt idx="192">
                  <c:v>41698</c:v>
                </c:pt>
                <c:pt idx="193">
                  <c:v>41705</c:v>
                </c:pt>
                <c:pt idx="194">
                  <c:v>41712</c:v>
                </c:pt>
                <c:pt idx="195">
                  <c:v>41719</c:v>
                </c:pt>
                <c:pt idx="196">
                  <c:v>41726</c:v>
                </c:pt>
                <c:pt idx="197">
                  <c:v>41733</c:v>
                </c:pt>
                <c:pt idx="198">
                  <c:v>41740</c:v>
                </c:pt>
                <c:pt idx="199">
                  <c:v>41747</c:v>
                </c:pt>
                <c:pt idx="200">
                  <c:v>41754</c:v>
                </c:pt>
                <c:pt idx="201">
                  <c:v>41761</c:v>
                </c:pt>
                <c:pt idx="202">
                  <c:v>41768</c:v>
                </c:pt>
                <c:pt idx="203">
                  <c:v>41775</c:v>
                </c:pt>
                <c:pt idx="204">
                  <c:v>41782</c:v>
                </c:pt>
                <c:pt idx="205">
                  <c:v>41789</c:v>
                </c:pt>
                <c:pt idx="206">
                  <c:v>41796</c:v>
                </c:pt>
                <c:pt idx="207">
                  <c:v>41803</c:v>
                </c:pt>
                <c:pt idx="208">
                  <c:v>41810</c:v>
                </c:pt>
              </c:numCache>
            </c:numRef>
          </c:cat>
          <c:val>
            <c:numRef>
              <c:f>'Crude Futures'!$C$2:$C$210</c:f>
              <c:numCache>
                <c:formatCode>General</c:formatCode>
                <c:ptCount val="209"/>
                <c:pt idx="0">
                  <c:v>94.53</c:v>
                </c:pt>
                <c:pt idx="1">
                  <c:v>94.84</c:v>
                </c:pt>
                <c:pt idx="2">
                  <c:v>87.51</c:v>
                </c:pt>
                <c:pt idx="3">
                  <c:v>92.14</c:v>
                </c:pt>
                <c:pt idx="4">
                  <c:v>91.54</c:v>
                </c:pt>
                <c:pt idx="5">
                  <c:v>94.45</c:v>
                </c:pt>
                <c:pt idx="6">
                  <c:v>94.42</c:v>
                </c:pt>
                <c:pt idx="7">
                  <c:v>96.38</c:v>
                </c:pt>
                <c:pt idx="8">
                  <c:v>91.07</c:v>
                </c:pt>
                <c:pt idx="9">
                  <c:v>89.01</c:v>
                </c:pt>
                <c:pt idx="10">
                  <c:v>90.61</c:v>
                </c:pt>
                <c:pt idx="11">
                  <c:v>89.11</c:v>
                </c:pt>
                <c:pt idx="12">
                  <c:v>91.47</c:v>
                </c:pt>
                <c:pt idx="13">
                  <c:v>88.67</c:v>
                </c:pt>
                <c:pt idx="14">
                  <c:v>90.32</c:v>
                </c:pt>
                <c:pt idx="15">
                  <c:v>95.53</c:v>
                </c:pt>
                <c:pt idx="16">
                  <c:v>96.8</c:v>
                </c:pt>
                <c:pt idx="17">
                  <c:v>95.23</c:v>
                </c:pt>
                <c:pt idx="18">
                  <c:v>95.14</c:v>
                </c:pt>
                <c:pt idx="19">
                  <c:v>94.56</c:v>
                </c:pt>
                <c:pt idx="20">
                  <c:v>100.52</c:v>
                </c:pt>
                <c:pt idx="21">
                  <c:v>98</c:v>
                </c:pt>
                <c:pt idx="22">
                  <c:v>94.68</c:v>
                </c:pt>
                <c:pt idx="23">
                  <c:v>96.43</c:v>
                </c:pt>
                <c:pt idx="24">
                  <c:v>101.97</c:v>
                </c:pt>
                <c:pt idx="25">
                  <c:v>100.2</c:v>
                </c:pt>
                <c:pt idx="26">
                  <c:v>100.61</c:v>
                </c:pt>
                <c:pt idx="27">
                  <c:v>102.9</c:v>
                </c:pt>
                <c:pt idx="28">
                  <c:v>103.14</c:v>
                </c:pt>
                <c:pt idx="29">
                  <c:v>100.83</c:v>
                </c:pt>
                <c:pt idx="30">
                  <c:v>102.88</c:v>
                </c:pt>
                <c:pt idx="31">
                  <c:v>100.16</c:v>
                </c:pt>
                <c:pt idx="32">
                  <c:v>100.24</c:v>
                </c:pt>
                <c:pt idx="33">
                  <c:v>99.96</c:v>
                </c:pt>
                <c:pt idx="34">
                  <c:v>96.4</c:v>
                </c:pt>
                <c:pt idx="35">
                  <c:v>97.43</c:v>
                </c:pt>
                <c:pt idx="36">
                  <c:v>105.89</c:v>
                </c:pt>
                <c:pt idx="37">
                  <c:v>112.04</c:v>
                </c:pt>
                <c:pt idx="38">
                  <c:v>107.7</c:v>
                </c:pt>
                <c:pt idx="39">
                  <c:v>109.63</c:v>
                </c:pt>
                <c:pt idx="40">
                  <c:v>112.04</c:v>
                </c:pt>
                <c:pt idx="41">
                  <c:v>114.9</c:v>
                </c:pt>
                <c:pt idx="42">
                  <c:v>119.89</c:v>
                </c:pt>
                <c:pt idx="43">
                  <c:v>116.1</c:v>
                </c:pt>
                <c:pt idx="44">
                  <c:v>118.39</c:v>
                </c:pt>
                <c:pt idx="45">
                  <c:v>119.94</c:v>
                </c:pt>
                <c:pt idx="46">
                  <c:v>104.16</c:v>
                </c:pt>
                <c:pt idx="47">
                  <c:v>105.41</c:v>
                </c:pt>
                <c:pt idx="48">
                  <c:v>105.27</c:v>
                </c:pt>
                <c:pt idx="49">
                  <c:v>105.93</c:v>
                </c:pt>
                <c:pt idx="50">
                  <c:v>106.01</c:v>
                </c:pt>
                <c:pt idx="51">
                  <c:v>104.36</c:v>
                </c:pt>
                <c:pt idx="52">
                  <c:v>98.37</c:v>
                </c:pt>
                <c:pt idx="53">
                  <c:v>96.36</c:v>
                </c:pt>
                <c:pt idx="54">
                  <c:v>100.17</c:v>
                </c:pt>
                <c:pt idx="55">
                  <c:v>101.3</c:v>
                </c:pt>
                <c:pt idx="56">
                  <c:v>102.57</c:v>
                </c:pt>
                <c:pt idx="57">
                  <c:v>104.64</c:v>
                </c:pt>
                <c:pt idx="58">
                  <c:v>101.08</c:v>
                </c:pt>
                <c:pt idx="59">
                  <c:v>90.59</c:v>
                </c:pt>
                <c:pt idx="60">
                  <c:v>90.47</c:v>
                </c:pt>
                <c:pt idx="61">
                  <c:v>87.02</c:v>
                </c:pt>
                <c:pt idx="62">
                  <c:v>90.08</c:v>
                </c:pt>
                <c:pt idx="63">
                  <c:v>88.41</c:v>
                </c:pt>
                <c:pt idx="64">
                  <c:v>91.45</c:v>
                </c:pt>
                <c:pt idx="65">
                  <c:v>92.33</c:v>
                </c:pt>
                <c:pt idx="66">
                  <c:v>84.17</c:v>
                </c:pt>
                <c:pt idx="67">
                  <c:v>83.45</c:v>
                </c:pt>
                <c:pt idx="68">
                  <c:v>87.28</c:v>
                </c:pt>
                <c:pt idx="69">
                  <c:v>92.01</c:v>
                </c:pt>
                <c:pt idx="70">
                  <c:v>91.39</c:v>
                </c:pt>
                <c:pt idx="71">
                  <c:v>97.87</c:v>
                </c:pt>
                <c:pt idx="72">
                  <c:v>98.74</c:v>
                </c:pt>
                <c:pt idx="73">
                  <c:v>103.64</c:v>
                </c:pt>
                <c:pt idx="74">
                  <c:v>101.87</c:v>
                </c:pt>
                <c:pt idx="75">
                  <c:v>101.83</c:v>
                </c:pt>
                <c:pt idx="76">
                  <c:v>105.56</c:v>
                </c:pt>
                <c:pt idx="77">
                  <c:v>103.91</c:v>
                </c:pt>
                <c:pt idx="78">
                  <c:v>97.88</c:v>
                </c:pt>
                <c:pt idx="79">
                  <c:v>104.03</c:v>
                </c:pt>
                <c:pt idx="80">
                  <c:v>103.81</c:v>
                </c:pt>
                <c:pt idx="81">
                  <c:v>106.03</c:v>
                </c:pt>
                <c:pt idx="82">
                  <c:v>103.77</c:v>
                </c:pt>
                <c:pt idx="83">
                  <c:v>102.28</c:v>
                </c:pt>
                <c:pt idx="84">
                  <c:v>103.94</c:v>
                </c:pt>
                <c:pt idx="85">
                  <c:v>101.68</c:v>
                </c:pt>
                <c:pt idx="86">
                  <c:v>103.27</c:v>
                </c:pt>
                <c:pt idx="87">
                  <c:v>108.33</c:v>
                </c:pt>
                <c:pt idx="88">
                  <c:v>113.25</c:v>
                </c:pt>
                <c:pt idx="89">
                  <c:v>110.33</c:v>
                </c:pt>
                <c:pt idx="90">
                  <c:v>111.08</c:v>
                </c:pt>
                <c:pt idx="91">
                  <c:v>110.84</c:v>
                </c:pt>
                <c:pt idx="92">
                  <c:v>109.85</c:v>
                </c:pt>
                <c:pt idx="93">
                  <c:v>106.33</c:v>
                </c:pt>
                <c:pt idx="94">
                  <c:v>105.59</c:v>
                </c:pt>
                <c:pt idx="95">
                  <c:v>105.86</c:v>
                </c:pt>
                <c:pt idx="96">
                  <c:v>106.43</c:v>
                </c:pt>
                <c:pt idx="97">
                  <c:v>107.54</c:v>
                </c:pt>
                <c:pt idx="98">
                  <c:v>100.66</c:v>
                </c:pt>
                <c:pt idx="99">
                  <c:v>98.4</c:v>
                </c:pt>
                <c:pt idx="100">
                  <c:v>94</c:v>
                </c:pt>
                <c:pt idx="101">
                  <c:v>93.29</c:v>
                </c:pt>
                <c:pt idx="102">
                  <c:v>85.25</c:v>
                </c:pt>
                <c:pt idx="103">
                  <c:v>88.01</c:v>
                </c:pt>
                <c:pt idx="104">
                  <c:v>87.38</c:v>
                </c:pt>
                <c:pt idx="105">
                  <c:v>82.16</c:v>
                </c:pt>
                <c:pt idx="106">
                  <c:v>86.61</c:v>
                </c:pt>
                <c:pt idx="107">
                  <c:v>86.16</c:v>
                </c:pt>
                <c:pt idx="108">
                  <c:v>89.09</c:v>
                </c:pt>
                <c:pt idx="109">
                  <c:v>93.27</c:v>
                </c:pt>
                <c:pt idx="110">
                  <c:v>91.8</c:v>
                </c:pt>
                <c:pt idx="111">
                  <c:v>93</c:v>
                </c:pt>
                <c:pt idx="112">
                  <c:v>94.91</c:v>
                </c:pt>
                <c:pt idx="113">
                  <c:v>97.99</c:v>
                </c:pt>
                <c:pt idx="114">
                  <c:v>98.02</c:v>
                </c:pt>
                <c:pt idx="115">
                  <c:v>97.73</c:v>
                </c:pt>
                <c:pt idx="116">
                  <c:v>97.59</c:v>
                </c:pt>
                <c:pt idx="117">
                  <c:v>100.5</c:v>
                </c:pt>
                <c:pt idx="118">
                  <c:v>94.2</c:v>
                </c:pt>
                <c:pt idx="119">
                  <c:v>93.17</c:v>
                </c:pt>
                <c:pt idx="120">
                  <c:v>90.87</c:v>
                </c:pt>
                <c:pt idx="121">
                  <c:v>92.65</c:v>
                </c:pt>
                <c:pt idx="122">
                  <c:v>90.64</c:v>
                </c:pt>
                <c:pt idx="123">
                  <c:v>87.02</c:v>
                </c:pt>
                <c:pt idx="124">
                  <c:v>85.24</c:v>
                </c:pt>
                <c:pt idx="125">
                  <c:v>86.78</c:v>
                </c:pt>
                <c:pt idx="126">
                  <c:v>87.46</c:v>
                </c:pt>
                <c:pt idx="127">
                  <c:v>88.37</c:v>
                </c:pt>
                <c:pt idx="128">
                  <c:v>89.01</c:v>
                </c:pt>
                <c:pt idx="129">
                  <c:v>86.14</c:v>
                </c:pt>
                <c:pt idx="130">
                  <c:v>87.04</c:v>
                </c:pt>
                <c:pt idx="131">
                  <c:v>88.29</c:v>
                </c:pt>
                <c:pt idx="132">
                  <c:v>90.1</c:v>
                </c:pt>
                <c:pt idx="133">
                  <c:v>92.9</c:v>
                </c:pt>
                <c:pt idx="134">
                  <c:v>93.43</c:v>
                </c:pt>
                <c:pt idx="135">
                  <c:v>95.09</c:v>
                </c:pt>
                <c:pt idx="136">
                  <c:v>95.28</c:v>
                </c:pt>
                <c:pt idx="137">
                  <c:v>96.96</c:v>
                </c:pt>
                <c:pt idx="138">
                  <c:v>95.03</c:v>
                </c:pt>
                <c:pt idx="139">
                  <c:v>95.08</c:v>
                </c:pt>
                <c:pt idx="140">
                  <c:v>91.92</c:v>
                </c:pt>
                <c:pt idx="141">
                  <c:v>89.4</c:v>
                </c:pt>
                <c:pt idx="142">
                  <c:v>90.52</c:v>
                </c:pt>
                <c:pt idx="143">
                  <c:v>91.94</c:v>
                </c:pt>
                <c:pt idx="144">
                  <c:v>92.04</c:v>
                </c:pt>
                <c:pt idx="145">
                  <c:v>95.68</c:v>
                </c:pt>
                <c:pt idx="146">
                  <c:v>91.34</c:v>
                </c:pt>
                <c:pt idx="147">
                  <c:v>89.27</c:v>
                </c:pt>
                <c:pt idx="148">
                  <c:v>86.23</c:v>
                </c:pt>
                <c:pt idx="149">
                  <c:v>90.73</c:v>
                </c:pt>
                <c:pt idx="150">
                  <c:v>93.61</c:v>
                </c:pt>
                <c:pt idx="151">
                  <c:v>93.79</c:v>
                </c:pt>
                <c:pt idx="152">
                  <c:v>93.99</c:v>
                </c:pt>
                <c:pt idx="153">
                  <c:v>91.63</c:v>
                </c:pt>
                <c:pt idx="154">
                  <c:v>89.47</c:v>
                </c:pt>
                <c:pt idx="155">
                  <c:v>93.83</c:v>
                </c:pt>
                <c:pt idx="156">
                  <c:v>95.59</c:v>
                </c:pt>
                <c:pt idx="157">
                  <c:v>91.32</c:v>
                </c:pt>
                <c:pt idx="158">
                  <c:v>94.05</c:v>
                </c:pt>
                <c:pt idx="159">
                  <c:v>101.42</c:v>
                </c:pt>
                <c:pt idx="160">
                  <c:v>103.52</c:v>
                </c:pt>
                <c:pt idx="161">
                  <c:v>105.67</c:v>
                </c:pt>
                <c:pt idx="162">
                  <c:v>102.21</c:v>
                </c:pt>
                <c:pt idx="163">
                  <c:v>104.44</c:v>
                </c:pt>
                <c:pt idx="164">
                  <c:v>103.44</c:v>
                </c:pt>
                <c:pt idx="165">
                  <c:v>105.31</c:v>
                </c:pt>
                <c:pt idx="166">
                  <c:v>104.65</c:v>
                </c:pt>
                <c:pt idx="167">
                  <c:v>104.81</c:v>
                </c:pt>
                <c:pt idx="168">
                  <c:v>108.02</c:v>
                </c:pt>
                <c:pt idx="169">
                  <c:v>105.24</c:v>
                </c:pt>
                <c:pt idx="170">
                  <c:v>103.23</c:v>
                </c:pt>
                <c:pt idx="171">
                  <c:v>100.8</c:v>
                </c:pt>
                <c:pt idx="172">
                  <c:v>101.79</c:v>
                </c:pt>
                <c:pt idx="173">
                  <c:v>99.71</c:v>
                </c:pt>
                <c:pt idx="174">
                  <c:v>99.18</c:v>
                </c:pt>
                <c:pt idx="175">
                  <c:v>96.02</c:v>
                </c:pt>
                <c:pt idx="176">
                  <c:v>92.66</c:v>
                </c:pt>
                <c:pt idx="177">
                  <c:v>92.59</c:v>
                </c:pt>
                <c:pt idx="178">
                  <c:v>91.92</c:v>
                </c:pt>
                <c:pt idx="179">
                  <c:v>91.64</c:v>
                </c:pt>
                <c:pt idx="180">
                  <c:v>90.2</c:v>
                </c:pt>
                <c:pt idx="181">
                  <c:v>95.15</c:v>
                </c:pt>
                <c:pt idx="182">
                  <c:v>94.04</c:v>
                </c:pt>
                <c:pt idx="183">
                  <c:v>96.4</c:v>
                </c:pt>
                <c:pt idx="184">
                  <c:v>97.35</c:v>
                </c:pt>
                <c:pt idx="185">
                  <c:v>91.38</c:v>
                </c:pt>
                <c:pt idx="186">
                  <c:v>90.03</c:v>
                </c:pt>
                <c:pt idx="187">
                  <c:v>91.31</c:v>
                </c:pt>
                <c:pt idx="188">
                  <c:v>93.96</c:v>
                </c:pt>
                <c:pt idx="189">
                  <c:v>94.46</c:v>
                </c:pt>
                <c:pt idx="190">
                  <c:v>97.11</c:v>
                </c:pt>
                <c:pt idx="191">
                  <c:v>97.38</c:v>
                </c:pt>
                <c:pt idx="192">
                  <c:v>99.68</c:v>
                </c:pt>
                <c:pt idx="193">
                  <c:v>100.39</c:v>
                </c:pt>
                <c:pt idx="194">
                  <c:v>100.14</c:v>
                </c:pt>
                <c:pt idx="195">
                  <c:v>96.78</c:v>
                </c:pt>
                <c:pt idx="196">
                  <c:v>97.7</c:v>
                </c:pt>
                <c:pt idx="197">
                  <c:v>99.9</c:v>
                </c:pt>
                <c:pt idx="198">
                  <c:v>99.12</c:v>
                </c:pt>
                <c:pt idx="199">
                  <c:v>101.77</c:v>
                </c:pt>
                <c:pt idx="200">
                  <c:v>102.84</c:v>
                </c:pt>
                <c:pt idx="201">
                  <c:v>99.63</c:v>
                </c:pt>
                <c:pt idx="202">
                  <c:v>99.1</c:v>
                </c:pt>
                <c:pt idx="203">
                  <c:v>99.26</c:v>
                </c:pt>
                <c:pt idx="204">
                  <c:v>101.19</c:v>
                </c:pt>
                <c:pt idx="205">
                  <c:v>103.78</c:v>
                </c:pt>
                <c:pt idx="206">
                  <c:v>102.43</c:v>
                </c:pt>
                <c:pt idx="207">
                  <c:v>102.29</c:v>
                </c:pt>
                <c:pt idx="208">
                  <c:v>106.39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63360"/>
        <c:axId val="170064896"/>
      </c:lineChart>
      <c:dateAx>
        <c:axId val="170063360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70064896"/>
        <c:crosses val="autoZero"/>
        <c:auto val="1"/>
        <c:lblOffset val="100"/>
        <c:baseTimeUnit val="days"/>
      </c:dateAx>
      <c:valAx>
        <c:axId val="17006489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7006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BF64-7F4C-4BBC-B1EF-2C19ECC4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2368</Words>
  <Characters>16341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pl14</cp:lastModifiedBy>
  <cp:revision>2</cp:revision>
  <dcterms:created xsi:type="dcterms:W3CDTF">2015-06-09T17:13:00Z</dcterms:created>
  <dcterms:modified xsi:type="dcterms:W3CDTF">2015-06-09T17:13:00Z</dcterms:modified>
</cp:coreProperties>
</file>