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18" w:rsidRDefault="009666A0" w:rsidP="002E60F9">
      <w:pPr>
        <w:pStyle w:val="Cm"/>
        <w:jc w:val="both"/>
      </w:pPr>
      <w:r>
        <w:t>Gyanúgenerálás lehetőségei energia-fogyasztási idősoros adatok alapján</w:t>
      </w:r>
    </w:p>
    <w:p w:rsidR="00A5667C" w:rsidRPr="00A5667C" w:rsidRDefault="00A5667C" w:rsidP="002E60F9">
      <w:pPr>
        <w:jc w:val="both"/>
        <w:rPr>
          <w:lang w:val="en-US"/>
        </w:rPr>
      </w:pPr>
      <w:r w:rsidRPr="00A5667C">
        <w:rPr>
          <w:lang w:val="en-US"/>
        </w:rPr>
        <w:t>(Possibilities of suspicion generating based on data assets about energy uses)</w:t>
      </w:r>
    </w:p>
    <w:p w:rsidR="009666A0" w:rsidRDefault="009666A0" w:rsidP="002E60F9">
      <w:pPr>
        <w:jc w:val="both"/>
      </w:pPr>
      <w:r>
        <w:t>Pitlik László (SZIE</w:t>
      </w:r>
      <w:r w:rsidR="00A5667C">
        <w:t xml:space="preserve"> MY-X kutatócsoport</w:t>
      </w:r>
      <w:r>
        <w:t>), Jacsó Ferenc (Rubin</w:t>
      </w:r>
      <w:r w:rsidR="00A5667C">
        <w:t xml:space="preserve"> </w:t>
      </w:r>
      <w:proofErr w:type="spellStart"/>
      <w:r w:rsidR="00A5667C">
        <w:t>Zrt</w:t>
      </w:r>
      <w:proofErr w:type="spellEnd"/>
      <w:r w:rsidR="00A5667C">
        <w:t>.</w:t>
      </w:r>
      <w:r>
        <w:t>)</w:t>
      </w:r>
    </w:p>
    <w:p w:rsidR="009666A0" w:rsidRDefault="009666A0" w:rsidP="002E60F9">
      <w:pPr>
        <w:jc w:val="both"/>
      </w:pPr>
      <w:r w:rsidRPr="00A5667C">
        <w:rPr>
          <w:u w:val="single"/>
        </w:rPr>
        <w:t>Kivonat</w:t>
      </w:r>
      <w:r>
        <w:t>:</w:t>
      </w:r>
      <w:r w:rsidR="00A5667C">
        <w:t xml:space="preserve"> Manapság a fogyasztók számára ellenőrző mérések kialakítása úgy technológiai, mint költségoldalról nem irracionális. Az adatok triviális felhasználásának számít a túlszámlázás elleni védekezés lehetősége. Ennél </w:t>
      </w:r>
      <w:proofErr w:type="spellStart"/>
      <w:r w:rsidR="00A5667C">
        <w:t>szofisztikáltabb</w:t>
      </w:r>
      <w:proofErr w:type="spellEnd"/>
      <w:r w:rsidR="00A5667C">
        <w:t xml:space="preserve"> feladatként jelentkezik az irracionális (nem várt) fogyasztások felismerése utólag helyszíni szemlék elrendelésének alapjaként és előrevetítve azonnali hibakeresést katalizálandó.</w:t>
      </w:r>
    </w:p>
    <w:p w:rsidR="009666A0" w:rsidRDefault="009666A0" w:rsidP="002E60F9">
      <w:pPr>
        <w:jc w:val="both"/>
      </w:pPr>
      <w:r w:rsidRPr="00A5667C">
        <w:rPr>
          <w:u w:val="single"/>
        </w:rPr>
        <w:t>Kulcsszavak</w:t>
      </w:r>
      <w:r>
        <w:t>:</w:t>
      </w:r>
      <w:r w:rsidR="00A5667C">
        <w:t xml:space="preserve"> homogenitás, riasztás, automatizálás, korai vészjelző rendszerek</w:t>
      </w:r>
      <w:r w:rsidR="000B7DFE">
        <w:t>, ingatlanüzemeltetés</w:t>
      </w:r>
    </w:p>
    <w:p w:rsidR="009666A0" w:rsidRPr="00A5667C" w:rsidRDefault="009666A0" w:rsidP="002E60F9">
      <w:pPr>
        <w:jc w:val="both"/>
        <w:rPr>
          <w:lang w:val="en-US"/>
        </w:rPr>
      </w:pPr>
      <w:r w:rsidRPr="00A5667C">
        <w:rPr>
          <w:u w:val="single"/>
          <w:lang w:val="en-US"/>
        </w:rPr>
        <w:t>Abstract</w:t>
      </w:r>
      <w:r w:rsidRPr="00A5667C">
        <w:rPr>
          <w:lang w:val="en-US"/>
        </w:rPr>
        <w:t>:</w:t>
      </w:r>
      <w:r w:rsidR="00A5667C">
        <w:rPr>
          <w:lang w:val="en-US"/>
        </w:rPr>
        <w:t xml:space="preserve"> Nowadays, the </w:t>
      </w:r>
      <w:r w:rsidR="000B7DFE">
        <w:rPr>
          <w:lang w:val="en-US"/>
        </w:rPr>
        <w:t>control measurements of energy uses are possible for the users both from technological and economic aspects. The most trivial using of data is the exploring of overbillings. More sophisticated approaches are: the derive norm values for energy uses. Based on these norms controlling actions on the spot can be prescribed in advance or belated.</w:t>
      </w:r>
    </w:p>
    <w:p w:rsidR="009666A0" w:rsidRPr="00A5667C" w:rsidRDefault="009666A0" w:rsidP="002E60F9">
      <w:pPr>
        <w:jc w:val="both"/>
        <w:rPr>
          <w:lang w:val="en-US"/>
        </w:rPr>
      </w:pPr>
      <w:r w:rsidRPr="00A5667C">
        <w:rPr>
          <w:u w:val="single"/>
          <w:lang w:val="en-US"/>
        </w:rPr>
        <w:t>Keywords</w:t>
      </w:r>
      <w:r w:rsidRPr="00A5667C">
        <w:rPr>
          <w:lang w:val="en-US"/>
        </w:rPr>
        <w:t>:</w:t>
      </w:r>
      <w:r w:rsidR="00A5667C">
        <w:rPr>
          <w:lang w:val="en-US"/>
        </w:rPr>
        <w:t xml:space="preserve"> homogeneity, alerts, automation, early warning systems</w:t>
      </w:r>
      <w:r w:rsidR="000B7DFE">
        <w:rPr>
          <w:lang w:val="en-US"/>
        </w:rPr>
        <w:t>, facility management</w:t>
      </w:r>
    </w:p>
    <w:p w:rsidR="009666A0" w:rsidRDefault="009666A0" w:rsidP="002E60F9">
      <w:pPr>
        <w:pStyle w:val="Cmsor1"/>
        <w:jc w:val="both"/>
      </w:pPr>
      <w:bookmarkStart w:id="0" w:name="_Toc454022297"/>
      <w:r>
        <w:t>Bevezetés</w:t>
      </w:r>
      <w:bookmarkEnd w:id="0"/>
    </w:p>
    <w:p w:rsidR="00A5667C" w:rsidRPr="00A5667C" w:rsidRDefault="00CD7EC5" w:rsidP="002E60F9">
      <w:pPr>
        <w:jc w:val="both"/>
      </w:pPr>
      <w:r>
        <w:t>Energiafogyasztási adatokat a kíváncsiságon túl rendszerszinten csak racionális okokból szokás mérni. A mért adatvagyon kialakításának költségei relatíve egyértelműsíthetők: mérőeszközök ára és ezek telepítésének költsége, adatkommunikációs rendszer költségei, adat-vizualizációs megoldások költségei, HR-költségek az adatok elemzése érdekében. A költségek fedezetét jelentő megtérülések</w:t>
      </w:r>
      <w:r w:rsidR="00474835">
        <w:t xml:space="preserve"> forrása sokféle lehet: pl. a túlszámlázások feltárása, ill. túlfogyasztás vélelme esetén a helyszíni szemle keretében rá lehet jönni arra, hogy adott fogyasztó nem került lekapcsolásra okszerűen, ill. egyes készülékek elromlottak, és/vagy áramlopás esete áll fenn. Kevésbé direkt módon a felismert emberi/műszaki hibák elhárítása kihathat a szolgáltatás/üzemelés-biztonság színvonalára, így a partneri/vevői/munkavállalói elégedettségre is. A saját és esetleges publikus kísérleti fogyasztási adatok ismeretében energetikai beruházások előkészítése/tervezése is támogatható az adatvagyon létén keresztül…</w:t>
      </w:r>
    </w:p>
    <w:p w:rsidR="009666A0" w:rsidRDefault="009666A0" w:rsidP="002E60F9">
      <w:pPr>
        <w:pStyle w:val="Cmsor1"/>
        <w:jc w:val="both"/>
      </w:pPr>
      <w:bookmarkStart w:id="1" w:name="_Toc454022298"/>
      <w:r>
        <w:t>Az adatvagyon jellemzői</w:t>
      </w:r>
      <w:bookmarkEnd w:id="1"/>
    </w:p>
    <w:p w:rsidR="00474835" w:rsidRPr="00474835" w:rsidRDefault="00521AF7" w:rsidP="002E60F9">
      <w:pPr>
        <w:jc w:val="both"/>
      </w:pPr>
      <w:r>
        <w:t>Jelen cikk/esettanulmány keretében csak a pl. 5 perces ritmusban pl. az áramfogyasztást mérő műszerek adatai álljanak idősorosan rendelkezésre pl. 1 évre és semmi egyéb adatforrás adatai ne. Ez nagyságrendileg 365 nap (á 24 óra, á 12 db 5 perces intervallum) esetén 105120 adatot jelentenek mérési pontonként. Az adatvagyon kapcsán előállhat adathiány, ami nem feltétlenül feleltethető meg a nulla értékű adatnak, mert lehet, hogy valóban nulla a valós fogyasztás az adott 5 perces időintervallumban. A helyes megoldás az adathiány és a fogyasztáshiány megkülönböztetésére szerencsés esetben a több párhuzamos mérés rendelkezésre állása lehet, ahol kis eséllyel fordulhat elő, hogy egyszerre 3-5 szenzor is egyszerre hibásodjon meg. Az adatkommunikáció azonban közös rendszeren fut, így formálisan a létező adat is elveszhet műszaki hibák következtében. A továbbiakban a nulla értékű adat NEM kerül adattisztítás keretében felülvezérlésre, vagyis első közelítésben nulla fo</w:t>
      </w:r>
      <w:r w:rsidR="00C11293">
        <w:t>gyasztásként kerül értelmezésre a nulla értékű adatcella.</w:t>
      </w:r>
    </w:p>
    <w:p w:rsidR="009666A0" w:rsidRDefault="009666A0" w:rsidP="002E60F9">
      <w:pPr>
        <w:pStyle w:val="Cmsor1"/>
        <w:jc w:val="both"/>
      </w:pPr>
      <w:bookmarkStart w:id="2" w:name="_Toc454022299"/>
      <w:r>
        <w:lastRenderedPageBreak/>
        <w:t>Elemzési lehetőségek</w:t>
      </w:r>
      <w:bookmarkEnd w:id="2"/>
    </w:p>
    <w:p w:rsidR="00521AF7" w:rsidRPr="00521AF7" w:rsidRDefault="00220F6D" w:rsidP="002E60F9">
      <w:pPr>
        <w:jc w:val="both"/>
      </w:pPr>
      <w:r>
        <w:t>Az idősoros adatvagyon elemzése kapcsán alapvető elvárás, hogy minden lépése automatizálható legyen annak érdekében, hogy a szakértői bérköltség minimalizálható legyen és a szakértői tudás esetleges, ad hoc fluktuációjától minél védettebb legyen maga a rendszer.</w:t>
      </w:r>
    </w:p>
    <w:p w:rsidR="009666A0" w:rsidRDefault="009666A0" w:rsidP="002E60F9">
      <w:pPr>
        <w:pStyle w:val="Cmsor2"/>
        <w:jc w:val="both"/>
      </w:pPr>
      <w:bookmarkStart w:id="3" w:name="_Toc454022300"/>
      <w:r>
        <w:t>Triviális feladatok</w:t>
      </w:r>
      <w:bookmarkEnd w:id="3"/>
    </w:p>
    <w:p w:rsidR="007E670E" w:rsidRDefault="00220F6D" w:rsidP="002E60F9">
      <w:pPr>
        <w:jc w:val="both"/>
      </w:pPr>
      <w:r>
        <w:t>Bár az alapadatok között az energia-szolgáltató által kiszámlázott adatok nincsenek jelen, mégis a leginkább triviális adatfelhasználás a számlák rekonstruálása lenne, mely egyértelműen képes kell, hogy legyen a fogyasztóvédelmi vitákat megérő szintű túlszámlázások gyanúját feltárni…</w:t>
      </w:r>
    </w:p>
    <w:p w:rsidR="0053138E" w:rsidRDefault="0053138E" w:rsidP="002E60F9">
      <w:pPr>
        <w:jc w:val="both"/>
      </w:pPr>
      <w:r>
        <w:t>Az idősorok vizuális értelmezése a rendelkezésre álló adatmennyiség kapcsán szinte lehetetlen, lévén a felbontás nem teszi értelmezhetővé a jelsűrűségnek megfelelő részletgazdagságot</w:t>
      </w:r>
      <w:r w:rsidR="005C025A">
        <w:t xml:space="preserve"> (vö. 1</w:t>
      </w:r>
      <w:proofErr w:type="gramStart"/>
      <w:r w:rsidR="005C025A">
        <w:t>.,</w:t>
      </w:r>
      <w:proofErr w:type="gramEnd"/>
      <w:r w:rsidR="005C025A">
        <w:t xml:space="preserve"> </w:t>
      </w:r>
      <w:r>
        <w:t xml:space="preserve">2. </w:t>
      </w:r>
      <w:r w:rsidR="005C025A">
        <w:t xml:space="preserve">és 3. </w:t>
      </w:r>
      <w:r>
        <w:t>ábra).</w:t>
      </w:r>
    </w:p>
    <w:p w:rsidR="0053138E" w:rsidRDefault="0053138E" w:rsidP="002E60F9">
      <w:pPr>
        <w:jc w:val="both"/>
      </w:pPr>
      <w:r>
        <w:rPr>
          <w:noProof/>
          <w:lang w:eastAsia="hu-HU"/>
        </w:rPr>
        <w:drawing>
          <wp:inline distT="0" distB="0" distL="0" distR="0" wp14:anchorId="6BC7F8EC" wp14:editId="519EB5E3">
            <wp:extent cx="5760720" cy="924560"/>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24560"/>
                    </a:xfrm>
                    <a:prstGeom prst="rect">
                      <a:avLst/>
                    </a:prstGeom>
                  </pic:spPr>
                </pic:pic>
              </a:graphicData>
            </a:graphic>
          </wp:inline>
        </w:drawing>
      </w:r>
    </w:p>
    <w:p w:rsidR="0053138E" w:rsidRDefault="0053138E" w:rsidP="002E60F9">
      <w:pPr>
        <w:pStyle w:val="Listaszerbekezds"/>
        <w:numPr>
          <w:ilvl w:val="0"/>
          <w:numId w:val="2"/>
        </w:numPr>
        <w:jc w:val="both"/>
      </w:pPr>
      <w:r>
        <w:t xml:space="preserve">ábra: Egyedi idősor 5 perces nézete (forrás: saját ábrázolás, ahol az </w:t>
      </w:r>
      <w:proofErr w:type="spellStart"/>
      <w:r>
        <w:t>X-tengely</w:t>
      </w:r>
      <w:proofErr w:type="spellEnd"/>
      <w:r>
        <w:t xml:space="preserve"> az idő, az Y tengely a fogyasztás)</w:t>
      </w:r>
    </w:p>
    <w:p w:rsidR="0053138E" w:rsidRDefault="0053138E" w:rsidP="002E60F9">
      <w:pPr>
        <w:jc w:val="both"/>
      </w:pPr>
    </w:p>
    <w:p w:rsidR="0053138E" w:rsidRDefault="0053138E" w:rsidP="002E60F9">
      <w:pPr>
        <w:jc w:val="both"/>
      </w:pPr>
      <w:r>
        <w:rPr>
          <w:noProof/>
          <w:lang w:eastAsia="hu-HU"/>
        </w:rPr>
        <w:drawing>
          <wp:inline distT="0" distB="0" distL="0" distR="0" wp14:anchorId="6185C5BF" wp14:editId="53B14CA7">
            <wp:extent cx="5760720" cy="684530"/>
            <wp:effectExtent l="0" t="0" r="0"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84530"/>
                    </a:xfrm>
                    <a:prstGeom prst="rect">
                      <a:avLst/>
                    </a:prstGeom>
                  </pic:spPr>
                </pic:pic>
              </a:graphicData>
            </a:graphic>
          </wp:inline>
        </w:drawing>
      </w:r>
    </w:p>
    <w:p w:rsidR="0053138E" w:rsidRDefault="0053138E" w:rsidP="002E60F9">
      <w:pPr>
        <w:pStyle w:val="Listaszerbekezds"/>
        <w:numPr>
          <w:ilvl w:val="0"/>
          <w:numId w:val="2"/>
        </w:numPr>
        <w:jc w:val="both"/>
      </w:pPr>
      <w:r>
        <w:t xml:space="preserve">ábra: Egyedi idősorok párhuzamos nézete (forrás: saját ábrázolás, ahol az </w:t>
      </w:r>
      <w:proofErr w:type="spellStart"/>
      <w:r>
        <w:t>X-tengely</w:t>
      </w:r>
      <w:proofErr w:type="spellEnd"/>
      <w:r>
        <w:t xml:space="preserve"> az idő, az </w:t>
      </w:r>
      <w:proofErr w:type="spellStart"/>
      <w:r>
        <w:t>Y-tengely</w:t>
      </w:r>
      <w:proofErr w:type="spellEnd"/>
      <w:r>
        <w:t xml:space="preserve"> a fogyasztás, s a színek az egyes telephelyeknek felelnek meg)</w:t>
      </w:r>
    </w:p>
    <w:p w:rsidR="00A21D2A" w:rsidRDefault="00A21D2A" w:rsidP="002E60F9">
      <w:pPr>
        <w:jc w:val="both"/>
      </w:pPr>
      <w:r>
        <w:rPr>
          <w:noProof/>
          <w:lang w:eastAsia="hu-HU"/>
        </w:rPr>
        <w:drawing>
          <wp:inline distT="0" distB="0" distL="0" distR="0" wp14:anchorId="2350B3D7" wp14:editId="19F7E561">
            <wp:extent cx="5760720" cy="796290"/>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96290"/>
                    </a:xfrm>
                    <a:prstGeom prst="rect">
                      <a:avLst/>
                    </a:prstGeom>
                  </pic:spPr>
                </pic:pic>
              </a:graphicData>
            </a:graphic>
          </wp:inline>
        </w:drawing>
      </w:r>
    </w:p>
    <w:p w:rsidR="00A21D2A" w:rsidRPr="007E670E" w:rsidRDefault="00A21D2A" w:rsidP="002E60F9">
      <w:pPr>
        <w:pStyle w:val="Listaszerbekezds"/>
        <w:numPr>
          <w:ilvl w:val="0"/>
          <w:numId w:val="2"/>
        </w:numPr>
        <w:jc w:val="both"/>
      </w:pPr>
      <w:r>
        <w:t>ábra</w:t>
      </w:r>
      <w:r w:rsidR="005C025A">
        <w:t xml:space="preserve">: Napi aggregálású telephelyi idősorok (forrás: saját ábrázolás, ahol az </w:t>
      </w:r>
      <w:proofErr w:type="spellStart"/>
      <w:r w:rsidR="005C025A">
        <w:t>X-tengely</w:t>
      </w:r>
      <w:proofErr w:type="spellEnd"/>
      <w:r w:rsidR="005C025A">
        <w:t xml:space="preserve"> az idő, az </w:t>
      </w:r>
      <w:proofErr w:type="spellStart"/>
      <w:r w:rsidR="005C025A">
        <w:t>Y-tengely</w:t>
      </w:r>
      <w:proofErr w:type="spellEnd"/>
      <w:r w:rsidR="005C025A">
        <w:t xml:space="preserve"> a fogyasztás – az adathiányos/nullaértékű fogyasztások pontjai telephely-színkódonként a kép alján láthatók).</w:t>
      </w:r>
    </w:p>
    <w:p w:rsidR="005C025A" w:rsidRDefault="005C025A" w:rsidP="002E60F9">
      <w:pPr>
        <w:jc w:val="both"/>
        <w:rPr>
          <w:rFonts w:asciiTheme="majorHAnsi" w:eastAsiaTheme="majorEastAsia" w:hAnsiTheme="majorHAnsi" w:cstheme="majorBidi"/>
          <w:color w:val="2E74B5" w:themeColor="accent1" w:themeShade="BF"/>
          <w:sz w:val="26"/>
          <w:szCs w:val="26"/>
        </w:rPr>
      </w:pPr>
      <w:r>
        <w:br w:type="page"/>
      </w:r>
    </w:p>
    <w:p w:rsidR="009666A0" w:rsidRDefault="009666A0" w:rsidP="002E60F9">
      <w:pPr>
        <w:pStyle w:val="Cmsor2"/>
        <w:jc w:val="both"/>
      </w:pPr>
      <w:bookmarkStart w:id="4" w:name="_Toc454022301"/>
      <w:r>
        <w:lastRenderedPageBreak/>
        <w:t>Rendszerhomogenitás-vizsgálat</w:t>
      </w:r>
      <w:bookmarkEnd w:id="4"/>
    </w:p>
    <w:p w:rsidR="00BF56DF" w:rsidRPr="00BF56DF" w:rsidRDefault="00BF56DF" w:rsidP="002E60F9">
      <w:pPr>
        <w:pStyle w:val="Cmsor3"/>
        <w:jc w:val="both"/>
      </w:pPr>
      <w:bookmarkStart w:id="5" w:name="_Toc454022302"/>
      <w:r>
        <w:t>Abszolút fogyasztások értelmezése</w:t>
      </w:r>
      <w:bookmarkEnd w:id="5"/>
    </w:p>
    <w:p w:rsidR="00220F6D" w:rsidRDefault="005E7B57" w:rsidP="002E60F9">
      <w:pPr>
        <w:jc w:val="both"/>
      </w:pPr>
      <w:r>
        <w:t>Amennyiben az 5 perces adatokat például napi átlaggá/összeggé sűrítjük (n=365 sor) és vesszük az azonos műszaki konstrukciónak vélt (fogyasztástípusba sorolt) objektumok (pl. 6 telephely - oszlop) adatait, s kimutatás-varázslás keretében minden egyes adatcella a saját telephely (oszlop) átlagától való eltérést tartalmazza %-ban kifejezve, akkor ezzel a telephelyek kitettsége, egyedisége okozta eltérések standardizálhatóvá válnak.</w:t>
      </w:r>
    </w:p>
    <w:p w:rsidR="005E7B57" w:rsidRDefault="005E7B57" w:rsidP="002E60F9">
      <w:pPr>
        <w:jc w:val="both"/>
      </w:pPr>
      <w:r>
        <w:t xml:space="preserve">Ha ezek után </w:t>
      </w:r>
      <w:r w:rsidR="004B1CBD">
        <w:t>vesszük az adott időpontra vonatkozó telephelyi átlagoktól mért egyedi telephelyi átlagok távolságának abszolút értékét, akkor ezzel eljutunk egy olyan nézethez, mely kapcsán feltehető a kérdés: Igaz-e, hogy minden egyes nap másként inhomogén a fogyasztások szerkezetét tekintve?</w:t>
      </w:r>
    </w:p>
    <w:p w:rsidR="001757EF" w:rsidRDefault="004B1CBD" w:rsidP="002E60F9">
      <w:pPr>
        <w:jc w:val="both"/>
      </w:pPr>
      <w:r>
        <w:t xml:space="preserve">Egy </w:t>
      </w:r>
      <w:proofErr w:type="spellStart"/>
      <w:r>
        <w:t>antidiszkriminációs</w:t>
      </w:r>
      <w:proofErr w:type="spellEnd"/>
      <w:r>
        <w:t xml:space="preserve"> modellel (vö. </w:t>
      </w:r>
      <w:hyperlink r:id="rId9" w:history="1">
        <w:r w:rsidRPr="0034006C">
          <w:rPr>
            <w:rStyle w:val="Hiperhivatkozs"/>
          </w:rPr>
          <w:t>http://miau.gau.hu/myx-free/coco/beker_y0.php</w:t>
        </w:r>
      </w:hyperlink>
      <w:r>
        <w:t xml:space="preserve">) elemezve a kérdést </w:t>
      </w:r>
      <w:r w:rsidR="00A21D2A">
        <w:t>eljuthatunk a 4</w:t>
      </w:r>
      <w:r>
        <w:t>. ábrához, mely megadja, hogyan alakult a fogyasztások napi átlaggal való összevetésének homogenitása telephelyenként.</w:t>
      </w:r>
    </w:p>
    <w:p w:rsidR="001757EF" w:rsidRDefault="001757EF" w:rsidP="002E60F9">
      <w:pPr>
        <w:jc w:val="both"/>
      </w:pPr>
    </w:p>
    <w:p w:rsidR="005E7B57" w:rsidRDefault="005E7B57" w:rsidP="002E60F9">
      <w:pPr>
        <w:jc w:val="both"/>
      </w:pPr>
      <w:r>
        <w:rPr>
          <w:noProof/>
          <w:lang w:eastAsia="hu-HU"/>
        </w:rPr>
        <w:drawing>
          <wp:inline distT="0" distB="0" distL="0" distR="0" wp14:anchorId="43F11355" wp14:editId="01308058">
            <wp:extent cx="5760720" cy="1351915"/>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351915"/>
                    </a:xfrm>
                    <a:prstGeom prst="rect">
                      <a:avLst/>
                    </a:prstGeom>
                  </pic:spPr>
                </pic:pic>
              </a:graphicData>
            </a:graphic>
          </wp:inline>
        </w:drawing>
      </w:r>
    </w:p>
    <w:p w:rsidR="005E7B57" w:rsidRDefault="005E7B57" w:rsidP="002E60F9">
      <w:pPr>
        <w:pStyle w:val="Listaszerbekezds"/>
        <w:numPr>
          <w:ilvl w:val="0"/>
          <w:numId w:val="2"/>
        </w:numPr>
        <w:jc w:val="both"/>
      </w:pPr>
      <w:r>
        <w:t xml:space="preserve">ábra: Rendszerhomogenitás-vizsgálat eredményei (forrás: saját számítások, ahol az </w:t>
      </w:r>
      <w:proofErr w:type="spellStart"/>
      <w:r>
        <w:t>X-tengely</w:t>
      </w:r>
      <w:proofErr w:type="spellEnd"/>
      <w:r>
        <w:t xml:space="preserve"> az idő, az Y tengely a rendszer inhomogenitás-indexe</w:t>
      </w:r>
      <w:r w:rsidR="008B5BA2">
        <w:t>, ahol piros szín jelzi a magas és zöld az alacsony inhomogenitást, a sárga szín pedig az átlagos inhomogenitást mutatja</w:t>
      </w:r>
      <w:r>
        <w:t>)</w:t>
      </w:r>
    </w:p>
    <w:p w:rsidR="00615E54" w:rsidRDefault="00A21D2A" w:rsidP="002E60F9">
      <w:pPr>
        <w:jc w:val="both"/>
      </w:pPr>
      <w:r>
        <w:t>A 4</w:t>
      </w:r>
      <w:r w:rsidR="00615E54">
        <w:t>. ábra bal szélén látható permanens piros hullámzás az egyik telephely hosszabb időszakot felölelő adathiányát jelzi, míg a kép közepe táján látható zöld „gödör” a teljes adatszolgáltatás hiányát, ahol minden telephelynek nulla volt a rendelkezésre álló adata.</w:t>
      </w:r>
      <w:r w:rsidR="008B5BA2">
        <w:t xml:space="preserve"> Emellett megfigyelhető, hogy a 3. ábra bal oldali fele színgazdagabb, pulzálóbb</w:t>
      </w:r>
      <w:r w:rsidR="004B1CBD">
        <w:t xml:space="preserve">, mint a jobb oldali </w:t>
      </w:r>
      <w:proofErr w:type="spellStart"/>
      <w:r w:rsidR="004B1CBD">
        <w:t>ábrafél</w:t>
      </w:r>
      <w:proofErr w:type="spellEnd"/>
      <w:r w:rsidR="004B1CBD">
        <w:t>, vagyis valahol az egy éves idősor felénél egy fajta „rendszerváltás” történt.</w:t>
      </w:r>
    </w:p>
    <w:p w:rsidR="004B1CBD" w:rsidRDefault="004B1CBD" w:rsidP="002E60F9">
      <w:pPr>
        <w:jc w:val="both"/>
      </w:pPr>
      <w:r>
        <w:t xml:space="preserve">Ha az idősor kezdete egy adott év június 01-e, míg a vége értelemszerűen a következő év május vége, akkor a közel félidős időpont lehetne éppen egy évfordulóváltás. A szakaszhatár egzakt meghatározásának </w:t>
      </w:r>
      <w:proofErr w:type="spellStart"/>
      <w:r>
        <w:t>demo-állománya</w:t>
      </w:r>
      <w:proofErr w:type="spellEnd"/>
      <w:r>
        <w:t xml:space="preserve"> itt érhető el: </w:t>
      </w:r>
      <w:hyperlink r:id="rId11" w:history="1">
        <w:r w:rsidRPr="0034006C">
          <w:rPr>
            <w:rStyle w:val="Hiperhivatkozs"/>
          </w:rPr>
          <w:t>http://miau.gau.hu/miau/200/szakaszolas.doc</w:t>
        </w:r>
      </w:hyperlink>
      <w:r>
        <w:t xml:space="preserve"> </w:t>
      </w:r>
    </w:p>
    <w:p w:rsidR="004B1CBD" w:rsidRDefault="004B1CBD" w:rsidP="002E60F9">
      <w:pPr>
        <w:jc w:val="both"/>
      </w:pPr>
      <w:r>
        <w:t>Ha nem naptári jellegű a karakterisztika változásának oka, akkor ez lehet pl. a telephely-használati elvekre (</w:t>
      </w:r>
      <w:proofErr w:type="spellStart"/>
      <w:r>
        <w:t>inkl</w:t>
      </w:r>
      <w:proofErr w:type="spellEnd"/>
      <w:r>
        <w:t>. személyzetcsere) és/vagy szenzorcserére visszavezethető is. Ilyen esetekben a vizsgált telephelyek üzemeltetőivel mindenképpen szakmai konzultációt érdemes folytatni, mert olyan jellegű rendszer-változások esetén, melyek kapcsán az inhomogenitás gyanúja visszaigazolható, nem feltétlenül célszerű a továbbiakban az adatsort egységes idősorként kezelni.</w:t>
      </w:r>
    </w:p>
    <w:p w:rsidR="005C025A" w:rsidRDefault="005C025A" w:rsidP="002E60F9">
      <w:pPr>
        <w:jc w:val="both"/>
        <w:rPr>
          <w:rFonts w:asciiTheme="majorHAnsi" w:eastAsiaTheme="majorEastAsia" w:hAnsiTheme="majorHAnsi" w:cstheme="majorBidi"/>
          <w:color w:val="1F4D78" w:themeColor="accent1" w:themeShade="7F"/>
          <w:sz w:val="24"/>
          <w:szCs w:val="24"/>
        </w:rPr>
      </w:pPr>
      <w:r>
        <w:br w:type="page"/>
      </w:r>
    </w:p>
    <w:p w:rsidR="004745B9" w:rsidRDefault="00BF56DF" w:rsidP="002E60F9">
      <w:pPr>
        <w:pStyle w:val="Cmsor3"/>
        <w:jc w:val="both"/>
      </w:pPr>
      <w:bookmarkStart w:id="6" w:name="_Toc454022303"/>
      <w:r>
        <w:lastRenderedPageBreak/>
        <w:t>Fogyasztásváltozások értelmezése</w:t>
      </w:r>
      <w:bookmarkEnd w:id="6"/>
    </w:p>
    <w:p w:rsidR="00BF56DF" w:rsidRDefault="00FF4F7E" w:rsidP="002E60F9">
      <w:pPr>
        <w:jc w:val="both"/>
      </w:pPr>
      <w:r>
        <w:t>Amennyiben az abszolút fogyasztásváltozások adatait két szomszédos időintervallum (pl. nap) kapcsán egymásból kivonjuk (értelemszerűen a későbbiből a korábbit) és az így kapott adatokat az egyes telephelyek maximális és minimális napi fogyasztásváltozásainak inte</w:t>
      </w:r>
      <w:r w:rsidR="00A21D2A">
        <w:t xml:space="preserve">rvallumában </w:t>
      </w:r>
      <w:proofErr w:type="spellStart"/>
      <w:r w:rsidR="00A21D2A">
        <w:t>relativáljuk</w:t>
      </w:r>
      <w:proofErr w:type="spellEnd"/>
      <w:r w:rsidR="00A21D2A">
        <w:t xml:space="preserve"> és </w:t>
      </w:r>
      <w:proofErr w:type="gramStart"/>
      <w:r w:rsidR="00A21D2A">
        <w:t>ezen</w:t>
      </w:r>
      <w:proofErr w:type="gramEnd"/>
      <w:r w:rsidR="00A21D2A">
        <w:t xml:space="preserve"> relatív adatok naponkénti átlagától való abszolút távolságot vesszük minden telephelyre vonatkozóan a dinamikus inhomogenitás alapjaként, ismét fel lehet tenni a kérdést: Vajon minden nap (n=365) másként azonos az inhomogenitások telephelyenkénti megoszlását tekintve?</w:t>
      </w:r>
    </w:p>
    <w:p w:rsidR="00A21D2A" w:rsidRDefault="00A21D2A" w:rsidP="002E60F9">
      <w:pPr>
        <w:jc w:val="both"/>
      </w:pPr>
      <w:r>
        <w:t xml:space="preserve">Az inhomogenitás-indexek napi értéke ismét csak egy </w:t>
      </w:r>
      <w:proofErr w:type="spellStart"/>
      <w:r>
        <w:t>anti-diszkriminatív</w:t>
      </w:r>
      <w:proofErr w:type="spellEnd"/>
      <w:r>
        <w:t xml:space="preserve"> modellel állítható elő (vö. 5. ábra):</w:t>
      </w:r>
    </w:p>
    <w:p w:rsidR="00A21D2A" w:rsidRDefault="00A21D2A" w:rsidP="002E60F9">
      <w:pPr>
        <w:jc w:val="both"/>
      </w:pPr>
      <w:r>
        <w:rPr>
          <w:noProof/>
          <w:lang w:eastAsia="hu-HU"/>
        </w:rPr>
        <w:drawing>
          <wp:inline distT="0" distB="0" distL="0" distR="0" wp14:anchorId="2E4A5757" wp14:editId="56664952">
            <wp:extent cx="5760720" cy="1141730"/>
            <wp:effectExtent l="0" t="0" r="0" b="127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41730"/>
                    </a:xfrm>
                    <a:prstGeom prst="rect">
                      <a:avLst/>
                    </a:prstGeom>
                  </pic:spPr>
                </pic:pic>
              </a:graphicData>
            </a:graphic>
          </wp:inline>
        </w:drawing>
      </w:r>
    </w:p>
    <w:p w:rsidR="00A21D2A" w:rsidRDefault="00A21D2A" w:rsidP="002E60F9">
      <w:pPr>
        <w:pStyle w:val="Listaszerbekezds"/>
        <w:numPr>
          <w:ilvl w:val="0"/>
          <w:numId w:val="2"/>
        </w:numPr>
        <w:jc w:val="both"/>
      </w:pPr>
      <w:r>
        <w:t xml:space="preserve">ábra: Dinamikus inhomogenitás alakulása (forrás: saját ábrázolás, ahol az </w:t>
      </w:r>
      <w:proofErr w:type="spellStart"/>
      <w:r>
        <w:t>X-tengely</w:t>
      </w:r>
      <w:proofErr w:type="spellEnd"/>
      <w:r>
        <w:t xml:space="preserve"> az idő, az </w:t>
      </w:r>
      <w:proofErr w:type="spellStart"/>
      <w:r>
        <w:t>Y-tengely</w:t>
      </w:r>
      <w:proofErr w:type="spellEnd"/>
      <w:r>
        <w:t xml:space="preserve"> az inhomogenitás mértéke).</w:t>
      </w:r>
    </w:p>
    <w:p w:rsidR="00A21D2A" w:rsidRDefault="00A21D2A" w:rsidP="002E60F9">
      <w:pPr>
        <w:jc w:val="both"/>
      </w:pPr>
      <w:proofErr w:type="gramStart"/>
      <w:r>
        <w:t>A</w:t>
      </w:r>
      <w:proofErr w:type="gramEnd"/>
      <w:r>
        <w:t xml:space="preserve"> 5. ábra kapcsán az vélelmezhető, hogy a telephelyek nap-nap változásainak összhangja a középső harmadban karakterisztikusan eltérőbb, mint a kezdeti és a záró intervallumban. </w:t>
      </w:r>
    </w:p>
    <w:p w:rsidR="00A21D2A" w:rsidRDefault="00A21D2A" w:rsidP="002E60F9">
      <w:pPr>
        <w:jc w:val="both"/>
      </w:pPr>
      <w:r>
        <w:t>Ha feltételezzük, hogy az idősor kezdete egy adott év június első napja, akkor az impulzívabb szakasz a szeptember-március időszak, vagyis a fűtési/téli/sötétebb szezon. A telephelyek közötti harmónia tehát az intenzívebbnek vélt energia-igény kapcsán kevésbé adott, vagyis a telephelyek egymáshoz való hasonlóságát alapvető karakterisztikák különbségei felerősítik.</w:t>
      </w:r>
      <w:r w:rsidR="005C025A">
        <w:t xml:space="preserve"> A valódi okok kiderítése ismét csak az üzemeltetőkkel folytatott, helyszíni bejárást/szemlét feltételező akciók keretében végezhető el. </w:t>
      </w:r>
    </w:p>
    <w:p w:rsidR="005C025A" w:rsidRDefault="00B2007C" w:rsidP="002E60F9">
      <w:pPr>
        <w:jc w:val="both"/>
      </w:pPr>
      <w:r>
        <w:t xml:space="preserve">A rendszer inhomogenitások feltárása egyben az elemzések kockázat-menedzsmentjét is jelenti: minél inhomogénebb egy rendszer-időszak, az ott felmerülő riasztások annál kockázatosabbak, hiszen a helyszíni szemle keretében a riasztás okának megállapítása racionális ok-okozatokat mutathat a helyszíni szemle esetleges költségeivel tovább terhelve az adatvagyon-gazdálkodás profit-centerét. </w:t>
      </w:r>
    </w:p>
    <w:p w:rsidR="00B2007C" w:rsidRDefault="00B2007C" w:rsidP="002E60F9">
      <w:pPr>
        <w:jc w:val="both"/>
      </w:pPr>
      <w:r>
        <w:t>Természetesen a kockázatok fordítva is értelmezhetők: az alacsonyabb inhomogenitású szakaszokra jutó riasztás (l. következő fejezet) valódi problémaként, azaz megtakarítási esélyként való realizálása nagyobb mértékben várható el.</w:t>
      </w:r>
    </w:p>
    <w:p w:rsidR="007374E1" w:rsidRDefault="007374E1" w:rsidP="002E60F9">
      <w:pPr>
        <w:pStyle w:val="Cmsor3"/>
        <w:jc w:val="both"/>
      </w:pPr>
      <w:bookmarkStart w:id="7" w:name="_Toc454022304"/>
      <w:r>
        <w:t>Telephely-inhomogenitás</w:t>
      </w:r>
      <w:bookmarkEnd w:id="7"/>
    </w:p>
    <w:p w:rsidR="007374E1" w:rsidRDefault="00A3051F" w:rsidP="002E60F9">
      <w:pPr>
        <w:jc w:val="both"/>
      </w:pPr>
      <w:r>
        <w:t>Amennyiben a telephelyek kapcsán pl. a havi átlagos fogyasztások átlagtól való eltéréseit telephelyenként értelmezzük és keressük, lehet-e minden telephely másként egyforma, akkor a telephelycsoport homogenitását kapjuk meg (esetlegesen több lépcsőben) eredményként</w:t>
      </w:r>
    </w:p>
    <w:p w:rsidR="007374E1" w:rsidRDefault="007374E1" w:rsidP="002E60F9">
      <w:pPr>
        <w:jc w:val="both"/>
      </w:pPr>
      <w:r>
        <w:rPr>
          <w:noProof/>
          <w:lang w:eastAsia="hu-HU"/>
        </w:rPr>
        <w:drawing>
          <wp:inline distT="0" distB="0" distL="0" distR="0" wp14:anchorId="054EB2B4" wp14:editId="0DEA46A0">
            <wp:extent cx="5760720" cy="873125"/>
            <wp:effectExtent l="0" t="0" r="0" b="317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873125"/>
                    </a:xfrm>
                    <a:prstGeom prst="rect">
                      <a:avLst/>
                    </a:prstGeom>
                  </pic:spPr>
                </pic:pic>
              </a:graphicData>
            </a:graphic>
          </wp:inline>
        </w:drawing>
      </w:r>
    </w:p>
    <w:p w:rsidR="007374E1" w:rsidRPr="00A3051F" w:rsidRDefault="00A3051F" w:rsidP="002E60F9">
      <w:pPr>
        <w:pStyle w:val="Listaszerbekezds"/>
        <w:numPr>
          <w:ilvl w:val="0"/>
          <w:numId w:val="5"/>
        </w:numPr>
        <w:jc w:val="both"/>
        <w:rPr>
          <w:rFonts w:asciiTheme="majorHAnsi" w:eastAsiaTheme="majorEastAsia" w:hAnsiTheme="majorHAnsi" w:cstheme="majorBidi"/>
          <w:color w:val="2E74B5" w:themeColor="accent1" w:themeShade="BF"/>
          <w:sz w:val="26"/>
          <w:szCs w:val="26"/>
        </w:rPr>
      </w:pPr>
      <w:r>
        <w:t xml:space="preserve">táblázat: Inhomogenitás-index telephelyenként (forrás: saját ábrázolás, ahol a sárga a csoportátlaghoz legközelebbi objektumokat jelzi a becslésben.) </w:t>
      </w:r>
      <w:r w:rsidR="007374E1">
        <w:br w:type="page"/>
      </w:r>
    </w:p>
    <w:p w:rsidR="009666A0" w:rsidRDefault="009666A0" w:rsidP="002E60F9">
      <w:pPr>
        <w:pStyle w:val="Cmsor2"/>
        <w:jc w:val="both"/>
      </w:pPr>
      <w:bookmarkStart w:id="8" w:name="_Toc454022305"/>
      <w:r>
        <w:lastRenderedPageBreak/>
        <w:t>Riasztás-generálás</w:t>
      </w:r>
      <w:bookmarkEnd w:id="8"/>
    </w:p>
    <w:p w:rsidR="00D06CD8" w:rsidRPr="00D06CD8" w:rsidRDefault="00FE361A" w:rsidP="002E60F9">
      <w:pPr>
        <w:jc w:val="both"/>
      </w:pPr>
      <w:r>
        <w:t>Az adatvagyon-gazdálkodás, elemzés-készítés egyik tipikus outputja a riasztás, vagyis már bekövetkezett anomáliákra való rámutatás:</w:t>
      </w:r>
    </w:p>
    <w:p w:rsidR="00D06CD8" w:rsidRDefault="00D06CD8" w:rsidP="002E60F9">
      <w:pPr>
        <w:pStyle w:val="Cmsor3"/>
        <w:jc w:val="both"/>
      </w:pPr>
      <w:bookmarkStart w:id="9" w:name="_Toc454022306"/>
      <w:r>
        <w:t>Együttmozgások elemzése</w:t>
      </w:r>
      <w:bookmarkEnd w:id="9"/>
    </w:p>
    <w:p w:rsidR="00D06CD8" w:rsidRDefault="00FE24F7" w:rsidP="002E60F9">
      <w:pPr>
        <w:jc w:val="both"/>
      </w:pPr>
      <w:r>
        <w:t xml:space="preserve">Ha a tényleges fogyasztások időegységről időegységre történő változásainak előjeleit minden telephely esetén kiszámítjuk és keressük azon együttállásokat, ahol csak egyetlen egy telephely változik a többivel ellentétes irányba, akkor egyrészt a vizsgált időszakra kumulálva </w:t>
      </w:r>
      <w:proofErr w:type="gramStart"/>
      <w:r>
        <w:t>ezen</w:t>
      </w:r>
      <w:proofErr w:type="gramEnd"/>
      <w:r>
        <w:t xml:space="preserve"> gyanús eltérések telephelyenkénti arányai feltárhatók (vö. 6. ábra)</w:t>
      </w:r>
    </w:p>
    <w:p w:rsidR="00FE24F7" w:rsidRDefault="008456C1" w:rsidP="002E60F9">
      <w:pPr>
        <w:jc w:val="both"/>
      </w:pPr>
      <w:r>
        <w:rPr>
          <w:noProof/>
          <w:lang w:eastAsia="hu-HU"/>
        </w:rPr>
        <w:drawing>
          <wp:inline distT="0" distB="0" distL="0" distR="0" wp14:anchorId="61638F93" wp14:editId="1533031A">
            <wp:extent cx="5760720" cy="128079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80795"/>
                    </a:xfrm>
                    <a:prstGeom prst="rect">
                      <a:avLst/>
                    </a:prstGeom>
                  </pic:spPr>
                </pic:pic>
              </a:graphicData>
            </a:graphic>
          </wp:inline>
        </w:drawing>
      </w:r>
    </w:p>
    <w:p w:rsidR="00FE24F7" w:rsidRDefault="00FE24F7" w:rsidP="002E60F9">
      <w:pPr>
        <w:pStyle w:val="Listaszerbekezds"/>
        <w:numPr>
          <w:ilvl w:val="0"/>
          <w:numId w:val="2"/>
        </w:numPr>
        <w:jc w:val="both"/>
      </w:pPr>
      <w:r>
        <w:t xml:space="preserve">ábra: Adott telephely </w:t>
      </w:r>
      <w:proofErr w:type="spellStart"/>
      <w:r>
        <w:t>aszinkronitásának</w:t>
      </w:r>
      <w:proofErr w:type="spellEnd"/>
      <w:r>
        <w:t xml:space="preserve"> alakulása időben (forrás: saját ábrázolás, ahol az </w:t>
      </w:r>
      <w:proofErr w:type="spellStart"/>
      <w:r>
        <w:t>X-tengely</w:t>
      </w:r>
      <w:proofErr w:type="spellEnd"/>
      <w:r>
        <w:t xml:space="preserve"> az idő, az </w:t>
      </w:r>
      <w:proofErr w:type="spellStart"/>
      <w:r>
        <w:t>Y-tengely</w:t>
      </w:r>
      <w:proofErr w:type="spellEnd"/>
      <w:r>
        <w:t xml:space="preserve"> az </w:t>
      </w:r>
      <w:proofErr w:type="spellStart"/>
      <w:r>
        <w:t>aszinkronitás</w:t>
      </w:r>
      <w:proofErr w:type="spellEnd"/>
      <w:r>
        <w:t xml:space="preserve"> léte = 1)</w:t>
      </w:r>
    </w:p>
    <w:p w:rsidR="00FE24F7" w:rsidRDefault="00FE24F7" w:rsidP="002E60F9">
      <w:pPr>
        <w:jc w:val="both"/>
      </w:pPr>
      <w:r>
        <w:t xml:space="preserve">Ezen arányok </w:t>
      </w:r>
      <w:r>
        <w:t xml:space="preserve">(közel) </w:t>
      </w:r>
      <w:r>
        <w:t>nagyságrendi</w:t>
      </w:r>
      <w:r>
        <w:t xml:space="preserve"> eltérést is</w:t>
      </w:r>
      <w:r w:rsidR="008456C1">
        <w:t xml:space="preserve"> fe</w:t>
      </w:r>
      <w:r w:rsidR="00A3051F">
        <w:t>lmutathatnak (vö. 5% vs. 41% - 2</w:t>
      </w:r>
      <w:r w:rsidR="008456C1">
        <w:t xml:space="preserve">. táblázat). Az iránytartás homogenitásának egy telephelyet érintő megsértése riasztási eseményként is értelmezhető. Helyszíni vizsgálat keretében lehet feltárni, vajon mi az oka annak, hogy adott objektum, mely formálisan a vizsgált telephely-csoport legitim tagja, adott pillanatban vagy éppen tartósan a többiekre jellemző </w:t>
      </w:r>
      <w:proofErr w:type="spellStart"/>
      <w:r w:rsidR="008456C1">
        <w:t>nap-nap-változásokkal</w:t>
      </w:r>
      <w:proofErr w:type="spellEnd"/>
      <w:r w:rsidR="008456C1">
        <w:t xml:space="preserve"> szembe megy. Itt értelemszerűen a minél tartósabb, annál kockázatosabb elv érvényesül. </w:t>
      </w:r>
    </w:p>
    <w:p w:rsidR="008456C1" w:rsidRDefault="008456C1" w:rsidP="002E60F9">
      <w:pPr>
        <w:jc w:val="both"/>
      </w:pPr>
      <w:r>
        <w:t xml:space="preserve">A vizsgált időszakban az anonim esettanulmány szerint 16%-nyi a riasztások száma, ill. </w:t>
      </w:r>
      <w:proofErr w:type="gramStart"/>
      <w:r>
        <w:t>ezen</w:t>
      </w:r>
      <w:proofErr w:type="gramEnd"/>
      <w:r>
        <w:t xml:space="preserve"> riasztások 41%-a egyetlen egy telephelyhez kötődik. A riasztások súlyosságát a homogén jellegű szakaszok hossza jelzi, ami a 6. ábrán két olyan szakaszt is kiemelni enged, ahol a riasztás tényei az összes riasztás által érintett napok keretében anélkül ismétlődnek, hogy máshol riasztani kellett volna… (Ideális riasztási képlet szerint </w:t>
      </w:r>
      <w:proofErr w:type="gramStart"/>
      <w:r>
        <w:t>ezen</w:t>
      </w:r>
      <w:proofErr w:type="gramEnd"/>
      <w:r>
        <w:t xml:space="preserve"> napok valóban szomszédos napok illik, hogy legyenek – vö. piros kerettel jelölt 2 szakasz.)</w:t>
      </w:r>
    </w:p>
    <w:p w:rsidR="00FE24F7" w:rsidRDefault="00FE24F7" w:rsidP="002E60F9">
      <w:pPr>
        <w:jc w:val="both"/>
      </w:pPr>
      <w:r>
        <w:rPr>
          <w:noProof/>
          <w:lang w:eastAsia="hu-HU"/>
        </w:rPr>
        <w:drawing>
          <wp:inline distT="0" distB="0" distL="0" distR="0" wp14:anchorId="48951C16" wp14:editId="0D2EFF32">
            <wp:extent cx="5760720" cy="469265"/>
            <wp:effectExtent l="0" t="0" r="0"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69265"/>
                    </a:xfrm>
                    <a:prstGeom prst="rect">
                      <a:avLst/>
                    </a:prstGeom>
                  </pic:spPr>
                </pic:pic>
              </a:graphicData>
            </a:graphic>
          </wp:inline>
        </w:drawing>
      </w:r>
    </w:p>
    <w:p w:rsidR="00FE24F7" w:rsidRPr="00D06CD8" w:rsidRDefault="00FE24F7" w:rsidP="002E60F9">
      <w:pPr>
        <w:pStyle w:val="Listaszerbekezds"/>
        <w:numPr>
          <w:ilvl w:val="0"/>
          <w:numId w:val="4"/>
        </w:numPr>
        <w:jc w:val="both"/>
      </w:pPr>
      <w:r>
        <w:t>táblázat: Iránytartási kockázatok arányszámai (forrás: saját ábrázolás, ahol a vizsgált időszak egy év, azaz 365 nap)</w:t>
      </w:r>
    </w:p>
    <w:p w:rsidR="000B0A58" w:rsidRDefault="000B0A58" w:rsidP="002E60F9">
      <w:pPr>
        <w:jc w:val="both"/>
        <w:rPr>
          <w:rFonts w:asciiTheme="majorHAnsi" w:eastAsiaTheme="majorEastAsia" w:hAnsiTheme="majorHAnsi" w:cstheme="majorBidi"/>
          <w:color w:val="1F4D78" w:themeColor="accent1" w:themeShade="7F"/>
          <w:sz w:val="24"/>
          <w:szCs w:val="24"/>
        </w:rPr>
      </w:pPr>
      <w:r>
        <w:br w:type="page"/>
      </w:r>
    </w:p>
    <w:p w:rsidR="00D06CD8" w:rsidRPr="00D06CD8" w:rsidRDefault="00D06CD8" w:rsidP="002E60F9">
      <w:pPr>
        <w:pStyle w:val="Cmsor3"/>
        <w:jc w:val="both"/>
      </w:pPr>
      <w:bookmarkStart w:id="10" w:name="_Toc454022307"/>
      <w:proofErr w:type="spellStart"/>
      <w:r>
        <w:lastRenderedPageBreak/>
        <w:t>Hazudj-ha-tudsz</w:t>
      </w:r>
      <w:proofErr w:type="spellEnd"/>
      <w:r>
        <w:t xml:space="preserve"> (lie2me) elemzések</w:t>
      </w:r>
      <w:bookmarkEnd w:id="10"/>
    </w:p>
    <w:p w:rsidR="000B0A58" w:rsidRDefault="000B0A58" w:rsidP="002E60F9">
      <w:pPr>
        <w:jc w:val="both"/>
      </w:pPr>
      <w:r>
        <w:t xml:space="preserve">Amennyiben a rendelkezésre álló idősorok valamilyen </w:t>
      </w:r>
      <w:proofErr w:type="spellStart"/>
      <w:r>
        <w:t>aggregációját</w:t>
      </w:r>
      <w:proofErr w:type="spellEnd"/>
      <w:r>
        <w:t xml:space="preserve"> (jelen esetben havi összevonását) úm. eltörjük pl. a 12 elemű idősorok kapcsán a 7. elemek után, akkor a 7+1 elemű </w:t>
      </w:r>
      <w:proofErr w:type="spellStart"/>
      <w:r>
        <w:t>ok-okozat-szimulációs</w:t>
      </w:r>
      <w:proofErr w:type="spellEnd"/>
      <w:r>
        <w:t xml:space="preserve"> mintázat minden telephelyre 5-5 ismétlést eredményez. Vagyis 30 objektum keletkeztethető, melyek a mindenkori utolsó 7-7 hónap (t-6</w:t>
      </w:r>
      <w:proofErr w:type="gramStart"/>
      <w:r>
        <w:t>, …</w:t>
      </w:r>
      <w:proofErr w:type="gramEnd"/>
      <w:r>
        <w:t>, t) alapján igyekeznek megmagyarázni, levezetni a következő (t+1) hónapra várható fogyasztás (jelen esetben az átlagtól való eltérés) irányát és mértékét. Vagyis itt már egy klasszikus termelési függvény-becslésről van szó, ahol hét bemeneti jel alapján kell a nyolcadik értéket minél közelebbi becsléssel értelmezni.</w:t>
      </w:r>
    </w:p>
    <w:p w:rsidR="000B0A58" w:rsidRDefault="000B0A58" w:rsidP="002E60F9">
      <w:pPr>
        <w:jc w:val="both"/>
      </w:pPr>
      <w:r>
        <w:t xml:space="preserve">A készített modell egy klasszikus lépcsős függvény, ahol az összes </w:t>
      </w:r>
      <w:proofErr w:type="spellStart"/>
      <w:r>
        <w:t>Xi</w:t>
      </w:r>
      <w:proofErr w:type="spellEnd"/>
      <w:r>
        <w:t xml:space="preserve"> esetére igaz, annál nagyobb lesz a fogyasztás átlagtól való eltérése a jövőben, minél nagyobb volt a múltban. A modell tény-becslés közötti korrelációs értéke: R = 0.996. A 7. ábra </w:t>
      </w:r>
      <w:r w:rsidR="0033331E">
        <w:t xml:space="preserve">szerint egyetlen egy olyan hónap volt a 2. telephelyen, ahol 3%-ot meghaladó mértékű volt a becslés és a tény eltérése nem kívánatos irányba, azaz min. 3%-kal illett volna kevesebbet fogyasztani ott és akkor, mint az ténylegesen megtörtént. Ez már ok lehet utólagos riasztás kiadására és helyszíni szemle elrendelésére. A 7. ábra </w:t>
      </w:r>
      <w:proofErr w:type="spellStart"/>
      <w:r w:rsidR="0033331E">
        <w:t>X-tengely</w:t>
      </w:r>
      <w:proofErr w:type="spellEnd"/>
      <w:r w:rsidR="0033331E">
        <w:t xml:space="preserve"> alatti jelei azt mutatják, hogy értelemszerűen ahhoz, hogy túlfogyasztásról tudjunk egy kiegyensúlyozott modell esetén beszélni, alulfogyasztást is vélelmezni kell tudni. Ezen alulfogyasztások értelmezése is érdekes lehet, amennyiben olyan </w:t>
      </w:r>
      <w:proofErr w:type="spellStart"/>
      <w:r w:rsidR="0033331E">
        <w:t>best-practice-jellegű</w:t>
      </w:r>
      <w:proofErr w:type="spellEnd"/>
      <w:r w:rsidR="0033331E">
        <w:t xml:space="preserve"> gyakorlatokra mutatnak rá, melyek rendszerszintűvé tehetők.</w:t>
      </w:r>
    </w:p>
    <w:p w:rsidR="000973D3" w:rsidRDefault="000973D3" w:rsidP="002E60F9">
      <w:pPr>
        <w:jc w:val="both"/>
      </w:pPr>
      <w:r>
        <w:rPr>
          <w:noProof/>
          <w:lang w:eastAsia="hu-HU"/>
        </w:rPr>
        <w:drawing>
          <wp:inline distT="0" distB="0" distL="0" distR="0" wp14:anchorId="035DB09E" wp14:editId="3A725AA7">
            <wp:extent cx="5760720" cy="1631950"/>
            <wp:effectExtent l="0" t="0" r="0" b="635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631950"/>
                    </a:xfrm>
                    <a:prstGeom prst="rect">
                      <a:avLst/>
                    </a:prstGeom>
                  </pic:spPr>
                </pic:pic>
              </a:graphicData>
            </a:graphic>
          </wp:inline>
        </w:drawing>
      </w:r>
    </w:p>
    <w:p w:rsidR="000B0A58" w:rsidRDefault="000B0A58" w:rsidP="002E60F9">
      <w:pPr>
        <w:pStyle w:val="Listaszerbekezds"/>
        <w:numPr>
          <w:ilvl w:val="0"/>
          <w:numId w:val="4"/>
        </w:numPr>
        <w:jc w:val="both"/>
      </w:pPr>
      <w:r>
        <w:t xml:space="preserve">ábra: Utólagos telephelyszintű riasztás (forrás: saját ábrázolás, ahol az </w:t>
      </w:r>
      <w:proofErr w:type="spellStart"/>
      <w:r>
        <w:t>X-tengely</w:t>
      </w:r>
      <w:proofErr w:type="spellEnd"/>
      <w:r>
        <w:t xml:space="preserve"> az telephelyek és időszakok által kiadott objektumok véletlenszerű sorozata, ezen objektumok </w:t>
      </w:r>
      <w:proofErr w:type="spellStart"/>
      <w:r>
        <w:t>ID-ja</w:t>
      </w:r>
      <w:proofErr w:type="spellEnd"/>
      <w:r>
        <w:t xml:space="preserve">, az </w:t>
      </w:r>
      <w:proofErr w:type="spellStart"/>
      <w:r>
        <w:t>Y-tengely</w:t>
      </w:r>
      <w:proofErr w:type="spellEnd"/>
      <w:r>
        <w:t xml:space="preserve"> a riasztás mértéke, vagyis a tény és a becslés közötti eltérés %-os értéke a mindenkori tényértékre vetítve)</w:t>
      </w:r>
    </w:p>
    <w:p w:rsidR="00CA0872" w:rsidRDefault="00CA0872" w:rsidP="002E60F9">
      <w:pPr>
        <w:jc w:val="both"/>
      </w:pPr>
      <w:r>
        <w:t xml:space="preserve">Az itt leírtakhoz hasonló számítások nem csak havi, hanem akár heti, napi, órás, vagy negyedórás ritmusban is kialakíthatók. Minél rövidebb az </w:t>
      </w:r>
      <w:proofErr w:type="spellStart"/>
      <w:r>
        <w:t>aggregációs</w:t>
      </w:r>
      <w:proofErr w:type="spellEnd"/>
      <w:r>
        <w:t xml:space="preserve"> szint, annál operatívabb lehet a gyanú kezelésének módja, ami végső soron átcsap az </w:t>
      </w:r>
      <w:proofErr w:type="spellStart"/>
      <w:r>
        <w:t>előrejelzésszerű</w:t>
      </w:r>
      <w:proofErr w:type="spellEnd"/>
      <w:r>
        <w:t xml:space="preserve"> norma-értelmezésbe:</w:t>
      </w:r>
    </w:p>
    <w:p w:rsidR="009666A0" w:rsidRDefault="009666A0" w:rsidP="002E60F9">
      <w:pPr>
        <w:pStyle w:val="Cmsor2"/>
        <w:jc w:val="both"/>
      </w:pPr>
      <w:bookmarkStart w:id="11" w:name="_Toc454022308"/>
      <w:r>
        <w:t>Normaszámítás/előrejelzés</w:t>
      </w:r>
      <w:bookmarkEnd w:id="11"/>
    </w:p>
    <w:p w:rsidR="00220F6D" w:rsidRPr="00220F6D" w:rsidRDefault="00CA0872" w:rsidP="002E60F9">
      <w:pPr>
        <w:jc w:val="both"/>
      </w:pPr>
      <w:r>
        <w:t xml:space="preserve">Az utólagos tény-becslés értelmezések egyben normaszámításként is felfogható és az erre képes modellek egyben szakértői rendszerként, szimulátorként is felfoghatók. Az előző fejezet nagyon magas korrelációjú modellje keletkezése pillanatában minden telephelyre képes azonnal egy ténnyel még le nem fedett becslést adni, vagyis egy fajta előrejelzésként deklarálni, hol mekkora fogyasztás várható az utolsó 7 hónap már ismert adatai alapján. Ennek a norma-becslésnek az értéke napról </w:t>
      </w:r>
      <w:proofErr w:type="gramStart"/>
      <w:r>
        <w:t>napra  (</w:t>
      </w:r>
      <w:proofErr w:type="gramEnd"/>
      <w:r>
        <w:t>időről-időre) elsődlegesen arányosan összevethető az idő múlása során keletkező adatokkal telephelyenként, s a legnagyobb arányos eltérést produkáló telephely kapcsán az okok feltárása operatív feladatként is értelmezhető riasztási szintet jelenthet a kockázatmenedzsment kapcsán…</w:t>
      </w:r>
    </w:p>
    <w:p w:rsidR="009666A0" w:rsidRDefault="009666A0" w:rsidP="002E60F9">
      <w:pPr>
        <w:pStyle w:val="Cmsor1"/>
        <w:jc w:val="both"/>
      </w:pPr>
      <w:bookmarkStart w:id="12" w:name="_Toc454022309"/>
      <w:r>
        <w:lastRenderedPageBreak/>
        <w:t>Következtetések</w:t>
      </w:r>
      <w:bookmarkEnd w:id="12"/>
    </w:p>
    <w:p w:rsidR="00CF53AC" w:rsidRDefault="00933AB6" w:rsidP="002E60F9">
      <w:pPr>
        <w:jc w:val="both"/>
      </w:pPr>
      <w:r>
        <w:t>Mint az a fentiek alapján világosan látható: a riasztások matematikai levezetése számos módon lehetséges. A riasztások közgazdasági/üzleti értékét csak a ténylegesen érintett objektumok szakértői értelmezése alapján lehet megítélni, hiszen akár az is fennállhat, hogy valódi mérések helyett szinte véletlenszerű számokat szállít az adatgyűjtés, mely riasztásai semmilyen valós műszaki eseményhez nem köthetők szisztematikusan.</w:t>
      </w:r>
    </w:p>
    <w:p w:rsidR="00933AB6" w:rsidRDefault="00933AB6" w:rsidP="002E60F9">
      <w:pPr>
        <w:jc w:val="both"/>
      </w:pPr>
      <w:r>
        <w:t>Amennyiben az adatvagyon reális, akkor a benchmarking jellegű hasonlóságelemzéseknek illik az egymással összevetett objektumok alapján racionális okokkal magyarázható riasztási eseményeket feltárni tudni.</w:t>
      </w:r>
    </w:p>
    <w:p w:rsidR="00933AB6" w:rsidRPr="00CF53AC" w:rsidRDefault="00933AB6" w:rsidP="002E60F9">
      <w:pPr>
        <w:jc w:val="both"/>
      </w:pPr>
      <w:r>
        <w:t>Amennyiben egy ilyen rendszer automatizálásra kerül, úgy az elemzői munkaidő formálisan kiesik, a riasztások valósidejűvé válnak, már „csak” a riasztási szintek és a kockázatkezelés vállalat-specifikus arányosságát kell ad hoc döntésekkel beállítani, vagy további modellekkel optimalizálni:</w:t>
      </w:r>
    </w:p>
    <w:p w:rsidR="009666A0" w:rsidRPr="009666A0" w:rsidRDefault="009666A0" w:rsidP="002E60F9">
      <w:pPr>
        <w:pStyle w:val="Cmsor1"/>
        <w:jc w:val="both"/>
      </w:pPr>
      <w:bookmarkStart w:id="13" w:name="_Toc454022310"/>
      <w:r>
        <w:t>Jövőkép</w:t>
      </w:r>
      <w:bookmarkEnd w:id="13"/>
    </w:p>
    <w:p w:rsidR="009666A0" w:rsidRDefault="00983E0A" w:rsidP="002E60F9">
      <w:pPr>
        <w:jc w:val="both"/>
      </w:pPr>
      <w:r>
        <w:t>Az idősoros fogyasztási adatok analógiájára bárminemű rendszer naturális és pénzügyi adatai mellé felsorakoztatható a következményadatok tömege, vagyis a potenciális partnerek (piaci szereplők, fogyasztók, cégen belüli érintettek, stb.) reakcióinak (pl. ügyfélvesztés, piaci részarány-vesztés, munkaerő-fluktuáció, hatósági büntetések, stb.) ismét csak idősoros sokasága.</w:t>
      </w:r>
    </w:p>
    <w:p w:rsidR="00983E0A" w:rsidRDefault="00983E0A" w:rsidP="002E60F9">
      <w:pPr>
        <w:jc w:val="both"/>
      </w:pPr>
      <w:r>
        <w:t>Ahhoz, hogy arról lehessen beszélni, milyen műszaki/működtetési beavatkozások érhetik meg a vállalkozás számára a beavatkozás költségeit olyan szimulátorok felállítása szükséges, melyek a potenciális partneri reakciók és a rendszerparaméterek között összefüggéseket képesek feltárni. Ezen szimulátorok alapján vélelmezhető, milyen rendszerparaméter-változás milyen piaci/elégedettségi hatásokat katalizálhat, s mennyi ezek pénzben is kifejezhető értéke. Így már a műszaki beavatkozások várható megtérülésének kérdése a mérleg két serpenyőjébe került becslés összevetéséből levezethető.</w:t>
      </w:r>
    </w:p>
    <w:p w:rsidR="00983E0A" w:rsidRDefault="00983E0A" w:rsidP="002E60F9">
      <w:pPr>
        <w:jc w:val="both"/>
      </w:pPr>
      <w:r>
        <w:t>A szimulátorok felállításának demonstrálására az mellékelt táblázatkalkulációs állomány szolgál:</w:t>
      </w:r>
      <w:r w:rsidR="00933AB6">
        <w:t xml:space="preserve"> </w:t>
      </w:r>
      <w:hyperlink r:id="rId17" w:history="1">
        <w:r w:rsidR="00933AB6" w:rsidRPr="0034006C">
          <w:rPr>
            <w:rStyle w:val="Hiperhivatkozs"/>
          </w:rPr>
          <w:t>http://miau.gau.hu/miau/214/operation_marketing_mixed_model.xlsx</w:t>
        </w:r>
      </w:hyperlink>
      <w:r w:rsidR="00933AB6">
        <w:t xml:space="preserve"> </w:t>
      </w:r>
    </w:p>
    <w:p w:rsidR="002E60F9" w:rsidRDefault="002E60F9" w:rsidP="002E60F9">
      <w:pPr>
        <w:jc w:val="both"/>
      </w:pPr>
    </w:p>
    <w:p w:rsidR="00254DC4" w:rsidRDefault="002E60F9" w:rsidP="002E60F9">
      <w:pPr>
        <w:jc w:val="center"/>
      </w:pPr>
      <w:r>
        <w:t>***</w:t>
      </w:r>
    </w:p>
    <w:p w:rsidR="002E60F9" w:rsidRDefault="002E60F9" w:rsidP="002E60F9">
      <w:pPr>
        <w:jc w:val="both"/>
      </w:pPr>
    </w:p>
    <w:p w:rsidR="005C121F" w:rsidRDefault="005C121F">
      <w:r>
        <w:br w:type="page"/>
      </w:r>
    </w:p>
    <w:p w:rsidR="00254DC4" w:rsidRDefault="00254DC4" w:rsidP="002E60F9">
      <w:pPr>
        <w:jc w:val="both"/>
      </w:pPr>
      <w:bookmarkStart w:id="14" w:name="_GoBack"/>
      <w:bookmarkEnd w:id="14"/>
      <w:r>
        <w:lastRenderedPageBreak/>
        <w:t>Tartalomjegyzék</w:t>
      </w:r>
    </w:p>
    <w:p w:rsidR="002E60F9" w:rsidRDefault="00254DC4" w:rsidP="002E60F9">
      <w:pPr>
        <w:pStyle w:val="TJ1"/>
        <w:tabs>
          <w:tab w:val="right" w:leader="dot" w:pos="9062"/>
        </w:tabs>
        <w:jc w:val="both"/>
        <w:rPr>
          <w:rFonts w:eastAsiaTheme="minorEastAsia"/>
          <w:noProof/>
          <w:lang w:eastAsia="hu-HU"/>
        </w:rPr>
      </w:pPr>
      <w:r>
        <w:fldChar w:fldCharType="begin"/>
      </w:r>
      <w:r>
        <w:instrText xml:space="preserve"> TOC \o "1-6" \h \z \u </w:instrText>
      </w:r>
      <w:r>
        <w:fldChar w:fldCharType="separate"/>
      </w:r>
      <w:hyperlink w:anchor="_Toc454022297" w:history="1">
        <w:r w:rsidR="002E60F9" w:rsidRPr="00FE5102">
          <w:rPr>
            <w:rStyle w:val="Hiperhivatkozs"/>
            <w:noProof/>
          </w:rPr>
          <w:t>Bevezetés</w:t>
        </w:r>
        <w:r w:rsidR="002E60F9">
          <w:rPr>
            <w:noProof/>
            <w:webHidden/>
          </w:rPr>
          <w:tab/>
        </w:r>
        <w:r w:rsidR="002E60F9">
          <w:rPr>
            <w:noProof/>
            <w:webHidden/>
          </w:rPr>
          <w:fldChar w:fldCharType="begin"/>
        </w:r>
        <w:r w:rsidR="002E60F9">
          <w:rPr>
            <w:noProof/>
            <w:webHidden/>
          </w:rPr>
          <w:instrText xml:space="preserve"> PAGEREF _Toc454022297 \h </w:instrText>
        </w:r>
        <w:r w:rsidR="002E60F9">
          <w:rPr>
            <w:noProof/>
            <w:webHidden/>
          </w:rPr>
        </w:r>
        <w:r w:rsidR="002E60F9">
          <w:rPr>
            <w:noProof/>
            <w:webHidden/>
          </w:rPr>
          <w:fldChar w:fldCharType="separate"/>
        </w:r>
        <w:r w:rsidR="002E60F9">
          <w:rPr>
            <w:noProof/>
            <w:webHidden/>
          </w:rPr>
          <w:t>1</w:t>
        </w:r>
        <w:r w:rsidR="002E60F9">
          <w:rPr>
            <w:noProof/>
            <w:webHidden/>
          </w:rPr>
          <w:fldChar w:fldCharType="end"/>
        </w:r>
      </w:hyperlink>
    </w:p>
    <w:p w:rsidR="002E60F9" w:rsidRDefault="002E60F9" w:rsidP="002E60F9">
      <w:pPr>
        <w:pStyle w:val="TJ1"/>
        <w:tabs>
          <w:tab w:val="right" w:leader="dot" w:pos="9062"/>
        </w:tabs>
        <w:jc w:val="both"/>
        <w:rPr>
          <w:rFonts w:eastAsiaTheme="minorEastAsia"/>
          <w:noProof/>
          <w:lang w:eastAsia="hu-HU"/>
        </w:rPr>
      </w:pPr>
      <w:hyperlink w:anchor="_Toc454022298" w:history="1">
        <w:r w:rsidRPr="00FE5102">
          <w:rPr>
            <w:rStyle w:val="Hiperhivatkozs"/>
            <w:noProof/>
          </w:rPr>
          <w:t>Az adatvagyon jellemzői</w:t>
        </w:r>
        <w:r>
          <w:rPr>
            <w:noProof/>
            <w:webHidden/>
          </w:rPr>
          <w:tab/>
        </w:r>
        <w:r>
          <w:rPr>
            <w:noProof/>
            <w:webHidden/>
          </w:rPr>
          <w:fldChar w:fldCharType="begin"/>
        </w:r>
        <w:r>
          <w:rPr>
            <w:noProof/>
            <w:webHidden/>
          </w:rPr>
          <w:instrText xml:space="preserve"> PAGEREF _Toc454022298 \h </w:instrText>
        </w:r>
        <w:r>
          <w:rPr>
            <w:noProof/>
            <w:webHidden/>
          </w:rPr>
        </w:r>
        <w:r>
          <w:rPr>
            <w:noProof/>
            <w:webHidden/>
          </w:rPr>
          <w:fldChar w:fldCharType="separate"/>
        </w:r>
        <w:r>
          <w:rPr>
            <w:noProof/>
            <w:webHidden/>
          </w:rPr>
          <w:t>1</w:t>
        </w:r>
        <w:r>
          <w:rPr>
            <w:noProof/>
            <w:webHidden/>
          </w:rPr>
          <w:fldChar w:fldCharType="end"/>
        </w:r>
      </w:hyperlink>
    </w:p>
    <w:p w:rsidR="002E60F9" w:rsidRDefault="002E60F9" w:rsidP="002E60F9">
      <w:pPr>
        <w:pStyle w:val="TJ1"/>
        <w:tabs>
          <w:tab w:val="right" w:leader="dot" w:pos="9062"/>
        </w:tabs>
        <w:jc w:val="both"/>
        <w:rPr>
          <w:rFonts w:eastAsiaTheme="minorEastAsia"/>
          <w:noProof/>
          <w:lang w:eastAsia="hu-HU"/>
        </w:rPr>
      </w:pPr>
      <w:hyperlink w:anchor="_Toc454022299" w:history="1">
        <w:r w:rsidRPr="00FE5102">
          <w:rPr>
            <w:rStyle w:val="Hiperhivatkozs"/>
            <w:noProof/>
          </w:rPr>
          <w:t>Elemzési lehetőségek</w:t>
        </w:r>
        <w:r>
          <w:rPr>
            <w:noProof/>
            <w:webHidden/>
          </w:rPr>
          <w:tab/>
        </w:r>
        <w:r>
          <w:rPr>
            <w:noProof/>
            <w:webHidden/>
          </w:rPr>
          <w:fldChar w:fldCharType="begin"/>
        </w:r>
        <w:r>
          <w:rPr>
            <w:noProof/>
            <w:webHidden/>
          </w:rPr>
          <w:instrText xml:space="preserve"> PAGEREF _Toc454022299 \h </w:instrText>
        </w:r>
        <w:r>
          <w:rPr>
            <w:noProof/>
            <w:webHidden/>
          </w:rPr>
        </w:r>
        <w:r>
          <w:rPr>
            <w:noProof/>
            <w:webHidden/>
          </w:rPr>
          <w:fldChar w:fldCharType="separate"/>
        </w:r>
        <w:r>
          <w:rPr>
            <w:noProof/>
            <w:webHidden/>
          </w:rPr>
          <w:t>2</w:t>
        </w:r>
        <w:r>
          <w:rPr>
            <w:noProof/>
            <w:webHidden/>
          </w:rPr>
          <w:fldChar w:fldCharType="end"/>
        </w:r>
      </w:hyperlink>
    </w:p>
    <w:p w:rsidR="002E60F9" w:rsidRDefault="002E60F9" w:rsidP="002E60F9">
      <w:pPr>
        <w:pStyle w:val="TJ2"/>
        <w:tabs>
          <w:tab w:val="right" w:leader="dot" w:pos="9062"/>
        </w:tabs>
        <w:jc w:val="both"/>
        <w:rPr>
          <w:rFonts w:eastAsiaTheme="minorEastAsia"/>
          <w:noProof/>
          <w:lang w:eastAsia="hu-HU"/>
        </w:rPr>
      </w:pPr>
      <w:hyperlink w:anchor="_Toc454022300" w:history="1">
        <w:r w:rsidRPr="00FE5102">
          <w:rPr>
            <w:rStyle w:val="Hiperhivatkozs"/>
            <w:noProof/>
          </w:rPr>
          <w:t>Triviális feladatok</w:t>
        </w:r>
        <w:r>
          <w:rPr>
            <w:noProof/>
            <w:webHidden/>
          </w:rPr>
          <w:tab/>
        </w:r>
        <w:r>
          <w:rPr>
            <w:noProof/>
            <w:webHidden/>
          </w:rPr>
          <w:fldChar w:fldCharType="begin"/>
        </w:r>
        <w:r>
          <w:rPr>
            <w:noProof/>
            <w:webHidden/>
          </w:rPr>
          <w:instrText xml:space="preserve"> PAGEREF _Toc454022300 \h </w:instrText>
        </w:r>
        <w:r>
          <w:rPr>
            <w:noProof/>
            <w:webHidden/>
          </w:rPr>
        </w:r>
        <w:r>
          <w:rPr>
            <w:noProof/>
            <w:webHidden/>
          </w:rPr>
          <w:fldChar w:fldCharType="separate"/>
        </w:r>
        <w:r>
          <w:rPr>
            <w:noProof/>
            <w:webHidden/>
          </w:rPr>
          <w:t>2</w:t>
        </w:r>
        <w:r>
          <w:rPr>
            <w:noProof/>
            <w:webHidden/>
          </w:rPr>
          <w:fldChar w:fldCharType="end"/>
        </w:r>
      </w:hyperlink>
    </w:p>
    <w:p w:rsidR="002E60F9" w:rsidRDefault="002E60F9" w:rsidP="002E60F9">
      <w:pPr>
        <w:pStyle w:val="TJ2"/>
        <w:tabs>
          <w:tab w:val="right" w:leader="dot" w:pos="9062"/>
        </w:tabs>
        <w:jc w:val="both"/>
        <w:rPr>
          <w:rFonts w:eastAsiaTheme="minorEastAsia"/>
          <w:noProof/>
          <w:lang w:eastAsia="hu-HU"/>
        </w:rPr>
      </w:pPr>
      <w:hyperlink w:anchor="_Toc454022301" w:history="1">
        <w:r w:rsidRPr="00FE5102">
          <w:rPr>
            <w:rStyle w:val="Hiperhivatkozs"/>
            <w:noProof/>
          </w:rPr>
          <w:t>Rendszerhomogenitás-vizsgálat</w:t>
        </w:r>
        <w:r>
          <w:rPr>
            <w:noProof/>
            <w:webHidden/>
          </w:rPr>
          <w:tab/>
        </w:r>
        <w:r>
          <w:rPr>
            <w:noProof/>
            <w:webHidden/>
          </w:rPr>
          <w:fldChar w:fldCharType="begin"/>
        </w:r>
        <w:r>
          <w:rPr>
            <w:noProof/>
            <w:webHidden/>
          </w:rPr>
          <w:instrText xml:space="preserve"> PAGEREF _Toc454022301 \h </w:instrText>
        </w:r>
        <w:r>
          <w:rPr>
            <w:noProof/>
            <w:webHidden/>
          </w:rPr>
        </w:r>
        <w:r>
          <w:rPr>
            <w:noProof/>
            <w:webHidden/>
          </w:rPr>
          <w:fldChar w:fldCharType="separate"/>
        </w:r>
        <w:r>
          <w:rPr>
            <w:noProof/>
            <w:webHidden/>
          </w:rPr>
          <w:t>3</w:t>
        </w:r>
        <w:r>
          <w:rPr>
            <w:noProof/>
            <w:webHidden/>
          </w:rPr>
          <w:fldChar w:fldCharType="end"/>
        </w:r>
      </w:hyperlink>
    </w:p>
    <w:p w:rsidR="002E60F9" w:rsidRDefault="002E60F9" w:rsidP="002E60F9">
      <w:pPr>
        <w:pStyle w:val="TJ3"/>
        <w:tabs>
          <w:tab w:val="right" w:leader="dot" w:pos="9062"/>
        </w:tabs>
        <w:jc w:val="both"/>
        <w:rPr>
          <w:rFonts w:eastAsiaTheme="minorEastAsia"/>
          <w:noProof/>
          <w:lang w:eastAsia="hu-HU"/>
        </w:rPr>
      </w:pPr>
      <w:hyperlink w:anchor="_Toc454022302" w:history="1">
        <w:r w:rsidRPr="00FE5102">
          <w:rPr>
            <w:rStyle w:val="Hiperhivatkozs"/>
            <w:noProof/>
          </w:rPr>
          <w:t>Abszolút fogyasztások értelmezése</w:t>
        </w:r>
        <w:r>
          <w:rPr>
            <w:noProof/>
            <w:webHidden/>
          </w:rPr>
          <w:tab/>
        </w:r>
        <w:r>
          <w:rPr>
            <w:noProof/>
            <w:webHidden/>
          </w:rPr>
          <w:fldChar w:fldCharType="begin"/>
        </w:r>
        <w:r>
          <w:rPr>
            <w:noProof/>
            <w:webHidden/>
          </w:rPr>
          <w:instrText xml:space="preserve"> PAGEREF _Toc454022302 \h </w:instrText>
        </w:r>
        <w:r>
          <w:rPr>
            <w:noProof/>
            <w:webHidden/>
          </w:rPr>
        </w:r>
        <w:r>
          <w:rPr>
            <w:noProof/>
            <w:webHidden/>
          </w:rPr>
          <w:fldChar w:fldCharType="separate"/>
        </w:r>
        <w:r>
          <w:rPr>
            <w:noProof/>
            <w:webHidden/>
          </w:rPr>
          <w:t>3</w:t>
        </w:r>
        <w:r>
          <w:rPr>
            <w:noProof/>
            <w:webHidden/>
          </w:rPr>
          <w:fldChar w:fldCharType="end"/>
        </w:r>
      </w:hyperlink>
    </w:p>
    <w:p w:rsidR="002E60F9" w:rsidRDefault="002E60F9" w:rsidP="002E60F9">
      <w:pPr>
        <w:pStyle w:val="TJ3"/>
        <w:tabs>
          <w:tab w:val="right" w:leader="dot" w:pos="9062"/>
        </w:tabs>
        <w:jc w:val="both"/>
        <w:rPr>
          <w:rFonts w:eastAsiaTheme="minorEastAsia"/>
          <w:noProof/>
          <w:lang w:eastAsia="hu-HU"/>
        </w:rPr>
      </w:pPr>
      <w:hyperlink w:anchor="_Toc454022303" w:history="1">
        <w:r w:rsidRPr="00FE5102">
          <w:rPr>
            <w:rStyle w:val="Hiperhivatkozs"/>
            <w:noProof/>
          </w:rPr>
          <w:t>Fogyasztásváltozások értelmezése</w:t>
        </w:r>
        <w:r>
          <w:rPr>
            <w:noProof/>
            <w:webHidden/>
          </w:rPr>
          <w:tab/>
        </w:r>
        <w:r>
          <w:rPr>
            <w:noProof/>
            <w:webHidden/>
          </w:rPr>
          <w:fldChar w:fldCharType="begin"/>
        </w:r>
        <w:r>
          <w:rPr>
            <w:noProof/>
            <w:webHidden/>
          </w:rPr>
          <w:instrText xml:space="preserve"> PAGEREF _Toc454022303 \h </w:instrText>
        </w:r>
        <w:r>
          <w:rPr>
            <w:noProof/>
            <w:webHidden/>
          </w:rPr>
        </w:r>
        <w:r>
          <w:rPr>
            <w:noProof/>
            <w:webHidden/>
          </w:rPr>
          <w:fldChar w:fldCharType="separate"/>
        </w:r>
        <w:r>
          <w:rPr>
            <w:noProof/>
            <w:webHidden/>
          </w:rPr>
          <w:t>4</w:t>
        </w:r>
        <w:r>
          <w:rPr>
            <w:noProof/>
            <w:webHidden/>
          </w:rPr>
          <w:fldChar w:fldCharType="end"/>
        </w:r>
      </w:hyperlink>
    </w:p>
    <w:p w:rsidR="002E60F9" w:rsidRDefault="002E60F9" w:rsidP="002E60F9">
      <w:pPr>
        <w:pStyle w:val="TJ3"/>
        <w:tabs>
          <w:tab w:val="right" w:leader="dot" w:pos="9062"/>
        </w:tabs>
        <w:jc w:val="both"/>
        <w:rPr>
          <w:rFonts w:eastAsiaTheme="minorEastAsia"/>
          <w:noProof/>
          <w:lang w:eastAsia="hu-HU"/>
        </w:rPr>
      </w:pPr>
      <w:hyperlink w:anchor="_Toc454022304" w:history="1">
        <w:r w:rsidRPr="00FE5102">
          <w:rPr>
            <w:rStyle w:val="Hiperhivatkozs"/>
            <w:noProof/>
          </w:rPr>
          <w:t>Telephely-inhomogenitás</w:t>
        </w:r>
        <w:r>
          <w:rPr>
            <w:noProof/>
            <w:webHidden/>
          </w:rPr>
          <w:tab/>
        </w:r>
        <w:r>
          <w:rPr>
            <w:noProof/>
            <w:webHidden/>
          </w:rPr>
          <w:fldChar w:fldCharType="begin"/>
        </w:r>
        <w:r>
          <w:rPr>
            <w:noProof/>
            <w:webHidden/>
          </w:rPr>
          <w:instrText xml:space="preserve"> PAGEREF _Toc454022304 \h </w:instrText>
        </w:r>
        <w:r>
          <w:rPr>
            <w:noProof/>
            <w:webHidden/>
          </w:rPr>
        </w:r>
        <w:r>
          <w:rPr>
            <w:noProof/>
            <w:webHidden/>
          </w:rPr>
          <w:fldChar w:fldCharType="separate"/>
        </w:r>
        <w:r>
          <w:rPr>
            <w:noProof/>
            <w:webHidden/>
          </w:rPr>
          <w:t>4</w:t>
        </w:r>
        <w:r>
          <w:rPr>
            <w:noProof/>
            <w:webHidden/>
          </w:rPr>
          <w:fldChar w:fldCharType="end"/>
        </w:r>
      </w:hyperlink>
    </w:p>
    <w:p w:rsidR="002E60F9" w:rsidRDefault="002E60F9" w:rsidP="002E60F9">
      <w:pPr>
        <w:pStyle w:val="TJ2"/>
        <w:tabs>
          <w:tab w:val="right" w:leader="dot" w:pos="9062"/>
        </w:tabs>
        <w:jc w:val="both"/>
        <w:rPr>
          <w:rFonts w:eastAsiaTheme="minorEastAsia"/>
          <w:noProof/>
          <w:lang w:eastAsia="hu-HU"/>
        </w:rPr>
      </w:pPr>
      <w:hyperlink w:anchor="_Toc454022305" w:history="1">
        <w:r w:rsidRPr="00FE5102">
          <w:rPr>
            <w:rStyle w:val="Hiperhivatkozs"/>
            <w:noProof/>
          </w:rPr>
          <w:t>Riasztás-generálás</w:t>
        </w:r>
        <w:r>
          <w:rPr>
            <w:noProof/>
            <w:webHidden/>
          </w:rPr>
          <w:tab/>
        </w:r>
        <w:r>
          <w:rPr>
            <w:noProof/>
            <w:webHidden/>
          </w:rPr>
          <w:fldChar w:fldCharType="begin"/>
        </w:r>
        <w:r>
          <w:rPr>
            <w:noProof/>
            <w:webHidden/>
          </w:rPr>
          <w:instrText xml:space="preserve"> PAGEREF _Toc454022305 \h </w:instrText>
        </w:r>
        <w:r>
          <w:rPr>
            <w:noProof/>
            <w:webHidden/>
          </w:rPr>
        </w:r>
        <w:r>
          <w:rPr>
            <w:noProof/>
            <w:webHidden/>
          </w:rPr>
          <w:fldChar w:fldCharType="separate"/>
        </w:r>
        <w:r>
          <w:rPr>
            <w:noProof/>
            <w:webHidden/>
          </w:rPr>
          <w:t>5</w:t>
        </w:r>
        <w:r>
          <w:rPr>
            <w:noProof/>
            <w:webHidden/>
          </w:rPr>
          <w:fldChar w:fldCharType="end"/>
        </w:r>
      </w:hyperlink>
    </w:p>
    <w:p w:rsidR="002E60F9" w:rsidRDefault="002E60F9" w:rsidP="002E60F9">
      <w:pPr>
        <w:pStyle w:val="TJ3"/>
        <w:tabs>
          <w:tab w:val="right" w:leader="dot" w:pos="9062"/>
        </w:tabs>
        <w:jc w:val="both"/>
        <w:rPr>
          <w:rFonts w:eastAsiaTheme="minorEastAsia"/>
          <w:noProof/>
          <w:lang w:eastAsia="hu-HU"/>
        </w:rPr>
      </w:pPr>
      <w:hyperlink w:anchor="_Toc454022306" w:history="1">
        <w:r w:rsidRPr="00FE5102">
          <w:rPr>
            <w:rStyle w:val="Hiperhivatkozs"/>
            <w:noProof/>
          </w:rPr>
          <w:t>Együttmozgások elemzése</w:t>
        </w:r>
        <w:r>
          <w:rPr>
            <w:noProof/>
            <w:webHidden/>
          </w:rPr>
          <w:tab/>
        </w:r>
        <w:r>
          <w:rPr>
            <w:noProof/>
            <w:webHidden/>
          </w:rPr>
          <w:fldChar w:fldCharType="begin"/>
        </w:r>
        <w:r>
          <w:rPr>
            <w:noProof/>
            <w:webHidden/>
          </w:rPr>
          <w:instrText xml:space="preserve"> PAGEREF _Toc454022306 \h </w:instrText>
        </w:r>
        <w:r>
          <w:rPr>
            <w:noProof/>
            <w:webHidden/>
          </w:rPr>
        </w:r>
        <w:r>
          <w:rPr>
            <w:noProof/>
            <w:webHidden/>
          </w:rPr>
          <w:fldChar w:fldCharType="separate"/>
        </w:r>
        <w:r>
          <w:rPr>
            <w:noProof/>
            <w:webHidden/>
          </w:rPr>
          <w:t>5</w:t>
        </w:r>
        <w:r>
          <w:rPr>
            <w:noProof/>
            <w:webHidden/>
          </w:rPr>
          <w:fldChar w:fldCharType="end"/>
        </w:r>
      </w:hyperlink>
    </w:p>
    <w:p w:rsidR="002E60F9" w:rsidRDefault="002E60F9" w:rsidP="002E60F9">
      <w:pPr>
        <w:pStyle w:val="TJ3"/>
        <w:tabs>
          <w:tab w:val="right" w:leader="dot" w:pos="9062"/>
        </w:tabs>
        <w:jc w:val="both"/>
        <w:rPr>
          <w:rFonts w:eastAsiaTheme="minorEastAsia"/>
          <w:noProof/>
          <w:lang w:eastAsia="hu-HU"/>
        </w:rPr>
      </w:pPr>
      <w:hyperlink w:anchor="_Toc454022307" w:history="1">
        <w:r w:rsidRPr="00FE5102">
          <w:rPr>
            <w:rStyle w:val="Hiperhivatkozs"/>
            <w:noProof/>
          </w:rPr>
          <w:t>Hazudj-ha-tudsz (lie2me) elemzések</w:t>
        </w:r>
        <w:r>
          <w:rPr>
            <w:noProof/>
            <w:webHidden/>
          </w:rPr>
          <w:tab/>
        </w:r>
        <w:r>
          <w:rPr>
            <w:noProof/>
            <w:webHidden/>
          </w:rPr>
          <w:fldChar w:fldCharType="begin"/>
        </w:r>
        <w:r>
          <w:rPr>
            <w:noProof/>
            <w:webHidden/>
          </w:rPr>
          <w:instrText xml:space="preserve"> PAGEREF _Toc454022307 \h </w:instrText>
        </w:r>
        <w:r>
          <w:rPr>
            <w:noProof/>
            <w:webHidden/>
          </w:rPr>
        </w:r>
        <w:r>
          <w:rPr>
            <w:noProof/>
            <w:webHidden/>
          </w:rPr>
          <w:fldChar w:fldCharType="separate"/>
        </w:r>
        <w:r>
          <w:rPr>
            <w:noProof/>
            <w:webHidden/>
          </w:rPr>
          <w:t>6</w:t>
        </w:r>
        <w:r>
          <w:rPr>
            <w:noProof/>
            <w:webHidden/>
          </w:rPr>
          <w:fldChar w:fldCharType="end"/>
        </w:r>
      </w:hyperlink>
    </w:p>
    <w:p w:rsidR="002E60F9" w:rsidRDefault="002E60F9" w:rsidP="002E60F9">
      <w:pPr>
        <w:pStyle w:val="TJ2"/>
        <w:tabs>
          <w:tab w:val="right" w:leader="dot" w:pos="9062"/>
        </w:tabs>
        <w:jc w:val="both"/>
        <w:rPr>
          <w:rFonts w:eastAsiaTheme="minorEastAsia"/>
          <w:noProof/>
          <w:lang w:eastAsia="hu-HU"/>
        </w:rPr>
      </w:pPr>
      <w:hyperlink w:anchor="_Toc454022308" w:history="1">
        <w:r w:rsidRPr="00FE5102">
          <w:rPr>
            <w:rStyle w:val="Hiperhivatkozs"/>
            <w:noProof/>
          </w:rPr>
          <w:t>Normaszámítás/előrejelzés</w:t>
        </w:r>
        <w:r>
          <w:rPr>
            <w:noProof/>
            <w:webHidden/>
          </w:rPr>
          <w:tab/>
        </w:r>
        <w:r>
          <w:rPr>
            <w:noProof/>
            <w:webHidden/>
          </w:rPr>
          <w:fldChar w:fldCharType="begin"/>
        </w:r>
        <w:r>
          <w:rPr>
            <w:noProof/>
            <w:webHidden/>
          </w:rPr>
          <w:instrText xml:space="preserve"> PAGEREF _Toc454022308 \h </w:instrText>
        </w:r>
        <w:r>
          <w:rPr>
            <w:noProof/>
            <w:webHidden/>
          </w:rPr>
        </w:r>
        <w:r>
          <w:rPr>
            <w:noProof/>
            <w:webHidden/>
          </w:rPr>
          <w:fldChar w:fldCharType="separate"/>
        </w:r>
        <w:r>
          <w:rPr>
            <w:noProof/>
            <w:webHidden/>
          </w:rPr>
          <w:t>6</w:t>
        </w:r>
        <w:r>
          <w:rPr>
            <w:noProof/>
            <w:webHidden/>
          </w:rPr>
          <w:fldChar w:fldCharType="end"/>
        </w:r>
      </w:hyperlink>
    </w:p>
    <w:p w:rsidR="002E60F9" w:rsidRDefault="002E60F9" w:rsidP="002E60F9">
      <w:pPr>
        <w:pStyle w:val="TJ1"/>
        <w:tabs>
          <w:tab w:val="right" w:leader="dot" w:pos="9062"/>
        </w:tabs>
        <w:jc w:val="both"/>
        <w:rPr>
          <w:rFonts w:eastAsiaTheme="minorEastAsia"/>
          <w:noProof/>
          <w:lang w:eastAsia="hu-HU"/>
        </w:rPr>
      </w:pPr>
      <w:hyperlink w:anchor="_Toc454022309" w:history="1">
        <w:r w:rsidRPr="00FE5102">
          <w:rPr>
            <w:rStyle w:val="Hiperhivatkozs"/>
            <w:noProof/>
          </w:rPr>
          <w:t>Következtetések</w:t>
        </w:r>
        <w:r>
          <w:rPr>
            <w:noProof/>
            <w:webHidden/>
          </w:rPr>
          <w:tab/>
        </w:r>
        <w:r>
          <w:rPr>
            <w:noProof/>
            <w:webHidden/>
          </w:rPr>
          <w:fldChar w:fldCharType="begin"/>
        </w:r>
        <w:r>
          <w:rPr>
            <w:noProof/>
            <w:webHidden/>
          </w:rPr>
          <w:instrText xml:space="preserve"> PAGEREF _Toc454022309 \h </w:instrText>
        </w:r>
        <w:r>
          <w:rPr>
            <w:noProof/>
            <w:webHidden/>
          </w:rPr>
        </w:r>
        <w:r>
          <w:rPr>
            <w:noProof/>
            <w:webHidden/>
          </w:rPr>
          <w:fldChar w:fldCharType="separate"/>
        </w:r>
        <w:r>
          <w:rPr>
            <w:noProof/>
            <w:webHidden/>
          </w:rPr>
          <w:t>7</w:t>
        </w:r>
        <w:r>
          <w:rPr>
            <w:noProof/>
            <w:webHidden/>
          </w:rPr>
          <w:fldChar w:fldCharType="end"/>
        </w:r>
      </w:hyperlink>
    </w:p>
    <w:p w:rsidR="002E60F9" w:rsidRDefault="002E60F9" w:rsidP="002E60F9">
      <w:pPr>
        <w:pStyle w:val="TJ1"/>
        <w:tabs>
          <w:tab w:val="right" w:leader="dot" w:pos="9062"/>
        </w:tabs>
        <w:jc w:val="both"/>
        <w:rPr>
          <w:rFonts w:eastAsiaTheme="minorEastAsia"/>
          <w:noProof/>
          <w:lang w:eastAsia="hu-HU"/>
        </w:rPr>
      </w:pPr>
      <w:hyperlink w:anchor="_Toc454022310" w:history="1">
        <w:r w:rsidRPr="00FE5102">
          <w:rPr>
            <w:rStyle w:val="Hiperhivatkozs"/>
            <w:noProof/>
          </w:rPr>
          <w:t>Jövőkép</w:t>
        </w:r>
        <w:r>
          <w:rPr>
            <w:noProof/>
            <w:webHidden/>
          </w:rPr>
          <w:tab/>
        </w:r>
        <w:r>
          <w:rPr>
            <w:noProof/>
            <w:webHidden/>
          </w:rPr>
          <w:fldChar w:fldCharType="begin"/>
        </w:r>
        <w:r>
          <w:rPr>
            <w:noProof/>
            <w:webHidden/>
          </w:rPr>
          <w:instrText xml:space="preserve"> PAGEREF _Toc454022310 \h </w:instrText>
        </w:r>
        <w:r>
          <w:rPr>
            <w:noProof/>
            <w:webHidden/>
          </w:rPr>
        </w:r>
        <w:r>
          <w:rPr>
            <w:noProof/>
            <w:webHidden/>
          </w:rPr>
          <w:fldChar w:fldCharType="separate"/>
        </w:r>
        <w:r>
          <w:rPr>
            <w:noProof/>
            <w:webHidden/>
          </w:rPr>
          <w:t>7</w:t>
        </w:r>
        <w:r>
          <w:rPr>
            <w:noProof/>
            <w:webHidden/>
          </w:rPr>
          <w:fldChar w:fldCharType="end"/>
        </w:r>
      </w:hyperlink>
    </w:p>
    <w:p w:rsidR="00983E0A" w:rsidRDefault="00254DC4" w:rsidP="002E60F9">
      <w:pPr>
        <w:jc w:val="both"/>
      </w:pPr>
      <w:r>
        <w:fldChar w:fldCharType="end"/>
      </w:r>
    </w:p>
    <w:sectPr w:rsidR="00983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974"/>
    <w:multiLevelType w:val="hybridMultilevel"/>
    <w:tmpl w:val="EE9A1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1C5A0E"/>
    <w:multiLevelType w:val="hybridMultilevel"/>
    <w:tmpl w:val="B876033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470CB2"/>
    <w:multiLevelType w:val="hybridMultilevel"/>
    <w:tmpl w:val="35126D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D5667B"/>
    <w:multiLevelType w:val="hybridMultilevel"/>
    <w:tmpl w:val="E752F3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B94E33"/>
    <w:multiLevelType w:val="hybridMultilevel"/>
    <w:tmpl w:val="74B254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A0"/>
    <w:rsid w:val="0004102A"/>
    <w:rsid w:val="000973D3"/>
    <w:rsid w:val="000B0A58"/>
    <w:rsid w:val="000B7DFE"/>
    <w:rsid w:val="001757EF"/>
    <w:rsid w:val="00220F6D"/>
    <w:rsid w:val="00254DC4"/>
    <w:rsid w:val="002E60F9"/>
    <w:rsid w:val="0033331E"/>
    <w:rsid w:val="003C6D81"/>
    <w:rsid w:val="004745B9"/>
    <w:rsid w:val="00474835"/>
    <w:rsid w:val="004B1CBD"/>
    <w:rsid w:val="00521AF7"/>
    <w:rsid w:val="0053138E"/>
    <w:rsid w:val="005C025A"/>
    <w:rsid w:val="005C121F"/>
    <w:rsid w:val="005E7B57"/>
    <w:rsid w:val="00615E54"/>
    <w:rsid w:val="006D6B34"/>
    <w:rsid w:val="007374E1"/>
    <w:rsid w:val="007E670E"/>
    <w:rsid w:val="008456C1"/>
    <w:rsid w:val="008B5BA2"/>
    <w:rsid w:val="00933AB6"/>
    <w:rsid w:val="009666A0"/>
    <w:rsid w:val="00983E0A"/>
    <w:rsid w:val="00A21D2A"/>
    <w:rsid w:val="00A3051F"/>
    <w:rsid w:val="00A5667C"/>
    <w:rsid w:val="00B2007C"/>
    <w:rsid w:val="00BF56DF"/>
    <w:rsid w:val="00C11293"/>
    <w:rsid w:val="00CA0872"/>
    <w:rsid w:val="00CD7EC5"/>
    <w:rsid w:val="00CF53AC"/>
    <w:rsid w:val="00D06CD8"/>
    <w:rsid w:val="00FE24F7"/>
    <w:rsid w:val="00FE361A"/>
    <w:rsid w:val="00FF4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9B079-5EA4-43A8-BC29-3DB5FE82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66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966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D06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966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666A0"/>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9666A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9666A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5E7B57"/>
    <w:pPr>
      <w:ind w:left="720"/>
      <w:contextualSpacing/>
    </w:pPr>
  </w:style>
  <w:style w:type="character" w:customStyle="1" w:styleId="Cmsor3Char">
    <w:name w:val="Címsor 3 Char"/>
    <w:basedOn w:val="Bekezdsalapbettpusa"/>
    <w:link w:val="Cmsor3"/>
    <w:uiPriority w:val="9"/>
    <w:rsid w:val="00D06CD8"/>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254DC4"/>
    <w:pPr>
      <w:spacing w:after="100"/>
    </w:pPr>
  </w:style>
  <w:style w:type="paragraph" w:styleId="TJ2">
    <w:name w:val="toc 2"/>
    <w:basedOn w:val="Norml"/>
    <w:next w:val="Norml"/>
    <w:autoRedefine/>
    <w:uiPriority w:val="39"/>
    <w:unhideWhenUsed/>
    <w:rsid w:val="00254DC4"/>
    <w:pPr>
      <w:spacing w:after="100"/>
      <w:ind w:left="220"/>
    </w:pPr>
  </w:style>
  <w:style w:type="paragraph" w:styleId="TJ3">
    <w:name w:val="toc 3"/>
    <w:basedOn w:val="Norml"/>
    <w:next w:val="Norml"/>
    <w:autoRedefine/>
    <w:uiPriority w:val="39"/>
    <w:unhideWhenUsed/>
    <w:rsid w:val="00254DC4"/>
    <w:pPr>
      <w:spacing w:after="100"/>
      <w:ind w:left="440"/>
    </w:pPr>
  </w:style>
  <w:style w:type="character" w:styleId="Hiperhivatkozs">
    <w:name w:val="Hyperlink"/>
    <w:basedOn w:val="Bekezdsalapbettpusa"/>
    <w:uiPriority w:val="99"/>
    <w:unhideWhenUsed/>
    <w:rsid w:val="00254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miau.gau.hu/miau/214/operation_marketing_mixed_model.xlsx"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iau.gau.hu/miau/200/szakaszolas.doc"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au.gau.hu/myx-free/coco/beker_y0.php" TargetMode="External"/><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83D5-38EC-432B-84EA-E48B9192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2282</Words>
  <Characters>15748</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29</cp:revision>
  <dcterms:created xsi:type="dcterms:W3CDTF">2016-06-18T07:49:00Z</dcterms:created>
  <dcterms:modified xsi:type="dcterms:W3CDTF">2016-06-18T12:10:00Z</dcterms:modified>
</cp:coreProperties>
</file>