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64" w:rsidRDefault="00A843ED" w:rsidP="005F4DEC">
      <w:pPr>
        <w:pBdr>
          <w:top w:val="single" w:sz="4" w:space="1" w:color="auto"/>
          <w:left w:val="single" w:sz="4" w:space="4" w:color="auto"/>
          <w:bottom w:val="single" w:sz="4" w:space="1" w:color="auto"/>
          <w:right w:val="single" w:sz="4" w:space="4" w:color="auto"/>
        </w:pBdr>
        <w:jc w:val="center"/>
      </w:pPr>
      <w:r>
        <w:t>Szervezzünk konferenciát a felsőoktatási teljesítményértékelésről</w:t>
      </w:r>
      <w:proofErr w:type="gramStart"/>
      <w:r w:rsidR="005F4DEC">
        <w:t>?!</w:t>
      </w:r>
      <w:proofErr w:type="gramEnd"/>
      <w:r>
        <w:t xml:space="preserve"> – vitaindító</w:t>
      </w:r>
    </w:p>
    <w:p w:rsidR="00A843ED" w:rsidRDefault="00A843ED" w:rsidP="00A843ED">
      <w:pPr>
        <w:pStyle w:val="Cm"/>
      </w:pPr>
      <w:proofErr w:type="spellStart"/>
      <w:r>
        <w:t>Robot-evaluátor</w:t>
      </w:r>
      <w:proofErr w:type="spellEnd"/>
      <w:r>
        <w:t xml:space="preserve">, avagy egy intézetigazgató munkájának </w:t>
      </w:r>
      <w:proofErr w:type="spellStart"/>
      <w:r>
        <w:t>objektivizálása</w:t>
      </w:r>
      <w:proofErr w:type="spellEnd"/>
    </w:p>
    <w:p w:rsidR="00A843ED" w:rsidRPr="00A843ED" w:rsidRDefault="00A843ED" w:rsidP="00A843ED">
      <w:pPr>
        <w:rPr>
          <w:lang w:val="en-GB"/>
        </w:rPr>
      </w:pPr>
      <w:r w:rsidRPr="00A843ED">
        <w:rPr>
          <w:lang w:val="en-GB"/>
        </w:rPr>
        <w:t xml:space="preserve">(Robot-evaluator, or more objectivity in the </w:t>
      </w:r>
      <w:r>
        <w:rPr>
          <w:lang w:val="en-GB"/>
        </w:rPr>
        <w:t>decision making processes of</w:t>
      </w:r>
      <w:r w:rsidRPr="00A843ED">
        <w:rPr>
          <w:lang w:val="en-GB"/>
        </w:rPr>
        <w:t xml:space="preserve"> the higher education)</w:t>
      </w:r>
    </w:p>
    <w:p w:rsidR="00A843ED" w:rsidRDefault="00A843ED">
      <w:r>
        <w:t>Pitlik László, MY-X team</w:t>
      </w:r>
    </w:p>
    <w:p w:rsidR="00A843ED" w:rsidRDefault="00A843ED" w:rsidP="005F4DEC">
      <w:pPr>
        <w:jc w:val="both"/>
      </w:pPr>
      <w:r w:rsidRPr="005F4DEC">
        <w:rPr>
          <w:u w:val="single"/>
        </w:rPr>
        <w:t>Kivonat</w:t>
      </w:r>
      <w:r>
        <w:t>:</w:t>
      </w:r>
      <w:r w:rsidR="005F4DEC">
        <w:t xml:space="preserve"> Az alábbi tanulmány felvállaltan a tudományos publikálás határait feszegetendő szeretne világosabb képet és automatizálható megoldást adni arról a jelenségkörről, amit ma teljesítményértékelésnek is szokás nevezni. A megoldás lényege szemben a naiv, önkényes, szubjektív, abszolút/relatív-határértékes, de mindenképpen deklaratív szabályrendszerekkel – az </w:t>
      </w:r>
      <w:proofErr w:type="spellStart"/>
      <w:r w:rsidR="005F4DEC">
        <w:t>anti-diszkriminatív</w:t>
      </w:r>
      <w:proofErr w:type="spellEnd"/>
      <w:r w:rsidR="005F4DEC">
        <w:t xml:space="preserve"> modellezés és a szimuláció</w:t>
      </w:r>
      <w:r w:rsidR="00C27842">
        <w:t>…</w:t>
      </w:r>
    </w:p>
    <w:p w:rsidR="00A843ED" w:rsidRDefault="00A843ED">
      <w:r w:rsidRPr="005F4DEC">
        <w:rPr>
          <w:u w:val="single"/>
        </w:rPr>
        <w:t>Kulcsszavak</w:t>
      </w:r>
      <w:r>
        <w:t>:</w:t>
      </w:r>
      <w:r w:rsidR="005F4DEC">
        <w:t xml:space="preserve"> hasonlóságelemzés</w:t>
      </w:r>
    </w:p>
    <w:p w:rsidR="00A843ED" w:rsidRPr="00E366FD" w:rsidRDefault="00A843ED" w:rsidP="00287ACF">
      <w:pPr>
        <w:jc w:val="both"/>
        <w:rPr>
          <w:lang w:val="en-GB"/>
        </w:rPr>
      </w:pPr>
      <w:r w:rsidRPr="005F4DEC">
        <w:rPr>
          <w:u w:val="single"/>
          <w:lang w:val="en-GB"/>
        </w:rPr>
        <w:t>Abstract</w:t>
      </w:r>
      <w:r w:rsidRPr="00E366FD">
        <w:rPr>
          <w:lang w:val="en-GB"/>
        </w:rPr>
        <w:t>:</w:t>
      </w:r>
      <w:r w:rsidR="005F4DEC">
        <w:rPr>
          <w:lang w:val="en-GB"/>
        </w:rPr>
        <w:t xml:space="preserve"> </w:t>
      </w:r>
      <w:r w:rsidR="00287ACF" w:rsidRPr="00287ACF">
        <w:rPr>
          <w:lang w:val="en-GB"/>
        </w:rPr>
        <w:t xml:space="preserve">This </w:t>
      </w:r>
      <w:r w:rsidR="00287ACF">
        <w:rPr>
          <w:lang w:val="en-GB"/>
        </w:rPr>
        <w:t>article</w:t>
      </w:r>
      <w:r w:rsidR="00287ACF" w:rsidRPr="00287ACF">
        <w:rPr>
          <w:lang w:val="en-GB"/>
        </w:rPr>
        <w:t xml:space="preserve"> admittedly </w:t>
      </w:r>
      <w:r w:rsidR="00287ACF">
        <w:rPr>
          <w:lang w:val="en-GB"/>
        </w:rPr>
        <w:t xml:space="preserve">tries to extend </w:t>
      </w:r>
      <w:r w:rsidR="00287ACF" w:rsidRPr="00287ACF">
        <w:rPr>
          <w:lang w:val="en-GB"/>
        </w:rPr>
        <w:t>the boundaries of sc</w:t>
      </w:r>
      <w:r w:rsidR="00287ACF">
        <w:rPr>
          <w:lang w:val="en-GB"/>
        </w:rPr>
        <w:t>ientific publishing and it</w:t>
      </w:r>
      <w:r w:rsidR="00287ACF" w:rsidRPr="00287ACF">
        <w:rPr>
          <w:lang w:val="en-GB"/>
        </w:rPr>
        <w:t xml:space="preserve"> want </w:t>
      </w:r>
      <w:r w:rsidR="00287ACF">
        <w:rPr>
          <w:lang w:val="en-GB"/>
        </w:rPr>
        <w:t xml:space="preserve">to create </w:t>
      </w:r>
      <w:r w:rsidR="00287ACF" w:rsidRPr="00287ACF">
        <w:rPr>
          <w:lang w:val="en-GB"/>
        </w:rPr>
        <w:t xml:space="preserve">a clearer picture and </w:t>
      </w:r>
      <w:r w:rsidR="00287ACF">
        <w:rPr>
          <w:lang w:val="en-GB"/>
        </w:rPr>
        <w:t xml:space="preserve">it outlines an </w:t>
      </w:r>
      <w:r w:rsidR="00287ACF" w:rsidRPr="00287ACF">
        <w:rPr>
          <w:lang w:val="en-GB"/>
        </w:rPr>
        <w:t xml:space="preserve">automated solution </w:t>
      </w:r>
      <w:r w:rsidR="00287ACF">
        <w:rPr>
          <w:lang w:val="en-GB"/>
        </w:rPr>
        <w:t>for the</w:t>
      </w:r>
      <w:r w:rsidR="00287ACF" w:rsidRPr="00287ACF">
        <w:rPr>
          <w:lang w:val="en-GB"/>
        </w:rPr>
        <w:t xml:space="preserve"> phenomenon </w:t>
      </w:r>
      <w:r w:rsidR="00287ACF">
        <w:rPr>
          <w:lang w:val="en-GB"/>
        </w:rPr>
        <w:t>called Performance Evaluation of HR</w:t>
      </w:r>
      <w:r w:rsidR="00287ACF" w:rsidRPr="00287ACF">
        <w:rPr>
          <w:lang w:val="en-GB"/>
        </w:rPr>
        <w:t>. In contrast to the naive solution</w:t>
      </w:r>
      <w:r w:rsidR="00287ACF">
        <w:rPr>
          <w:lang w:val="en-GB"/>
        </w:rPr>
        <w:t>s</w:t>
      </w:r>
      <w:r w:rsidR="00287ACF" w:rsidRPr="00287ACF">
        <w:rPr>
          <w:lang w:val="en-GB"/>
        </w:rPr>
        <w:t xml:space="preserve"> </w:t>
      </w:r>
      <w:r w:rsidR="00287ACF">
        <w:rPr>
          <w:lang w:val="en-GB"/>
        </w:rPr>
        <w:t xml:space="preserve">which </w:t>
      </w:r>
      <w:r w:rsidR="00287ACF" w:rsidRPr="00287ACF">
        <w:rPr>
          <w:lang w:val="en-GB"/>
        </w:rPr>
        <w:t xml:space="preserve">is arbitrary, subjective, </w:t>
      </w:r>
      <w:r w:rsidR="00287ACF">
        <w:rPr>
          <w:lang w:val="en-GB"/>
        </w:rPr>
        <w:t xml:space="preserve">using absolute / relative threshold for </w:t>
      </w:r>
      <w:r w:rsidR="00287ACF" w:rsidRPr="00287ACF">
        <w:rPr>
          <w:lang w:val="en-GB"/>
        </w:rPr>
        <w:t xml:space="preserve">declarative rule systems </w:t>
      </w:r>
      <w:r w:rsidR="00287ACF">
        <w:rPr>
          <w:lang w:val="en-GB"/>
        </w:rPr>
        <w:t>it would be worth to change for an</w:t>
      </w:r>
      <w:r w:rsidR="00287ACF" w:rsidRPr="00287ACF">
        <w:rPr>
          <w:lang w:val="en-GB"/>
        </w:rPr>
        <w:t xml:space="preserve"> a</w:t>
      </w:r>
      <w:r w:rsidR="00C27842">
        <w:rPr>
          <w:lang w:val="en-GB"/>
        </w:rPr>
        <w:t>nti-discriminative approach offering simulation possibilities too…</w:t>
      </w:r>
    </w:p>
    <w:p w:rsidR="00A843ED" w:rsidRPr="00E366FD" w:rsidRDefault="00A843ED">
      <w:pPr>
        <w:rPr>
          <w:lang w:val="en-GB"/>
        </w:rPr>
      </w:pPr>
      <w:r w:rsidRPr="005F4DEC">
        <w:rPr>
          <w:u w:val="single"/>
          <w:lang w:val="en-GB"/>
        </w:rPr>
        <w:t>Keywords</w:t>
      </w:r>
      <w:r w:rsidRPr="00E366FD">
        <w:rPr>
          <w:lang w:val="en-GB"/>
        </w:rPr>
        <w:t>:</w:t>
      </w:r>
      <w:r w:rsidR="005F4DEC">
        <w:rPr>
          <w:lang w:val="en-GB"/>
        </w:rPr>
        <w:t xml:space="preserve"> similarity analysis</w:t>
      </w:r>
    </w:p>
    <w:p w:rsidR="00A843ED" w:rsidRDefault="00A843ED" w:rsidP="00A843ED">
      <w:pPr>
        <w:pStyle w:val="Cmsor1"/>
      </w:pPr>
      <w:r>
        <w:t>Hangütés</w:t>
      </w:r>
      <w:r w:rsidR="00E442FE">
        <w:t>, ami még nem a bevezető</w:t>
      </w:r>
    </w:p>
    <w:p w:rsidR="00A843ED" w:rsidRDefault="00A843ED" w:rsidP="00A843ED">
      <w:pPr>
        <w:jc w:val="both"/>
      </w:pPr>
      <w:r>
        <w:t>A következő cikk alapján készülő filmre/könyvre azt lenne ildomos kiírni: „</w:t>
      </w:r>
      <w:proofErr w:type="spellStart"/>
      <w:r>
        <w:t>Based</w:t>
      </w:r>
      <w:proofErr w:type="spellEnd"/>
      <w:r>
        <w:t xml:space="preserve"> </w:t>
      </w:r>
      <w:proofErr w:type="spellStart"/>
      <w:r>
        <w:t>on</w:t>
      </w:r>
      <w:proofErr w:type="spellEnd"/>
      <w:r>
        <w:t xml:space="preserve"> a </w:t>
      </w:r>
      <w:proofErr w:type="spellStart"/>
      <w:r>
        <w:t>true</w:t>
      </w:r>
      <w:proofErr w:type="spellEnd"/>
      <w:r>
        <w:t xml:space="preserve"> story”, sőt mindjárt így: „</w:t>
      </w:r>
      <w:proofErr w:type="spellStart"/>
      <w:r>
        <w:t>Based</w:t>
      </w:r>
      <w:proofErr w:type="spellEnd"/>
      <w:r>
        <w:t xml:space="preserve"> </w:t>
      </w:r>
      <w:proofErr w:type="spellStart"/>
      <w:r>
        <w:t>on</w:t>
      </w:r>
      <w:proofErr w:type="spellEnd"/>
      <w:r>
        <w:t xml:space="preserve"> a </w:t>
      </w:r>
      <w:proofErr w:type="spellStart"/>
      <w:r>
        <w:t>lot</w:t>
      </w:r>
      <w:proofErr w:type="spellEnd"/>
      <w:r>
        <w:t xml:space="preserve"> of </w:t>
      </w:r>
      <w:proofErr w:type="spellStart"/>
      <w:r>
        <w:t>true</w:t>
      </w:r>
      <w:proofErr w:type="spellEnd"/>
      <w:r>
        <w:t xml:space="preserve"> </w:t>
      </w:r>
      <w:proofErr w:type="spellStart"/>
      <w:r>
        <w:t>stories</w:t>
      </w:r>
      <w:proofErr w:type="spellEnd"/>
      <w:r>
        <w:t xml:space="preserve">”. </w:t>
      </w:r>
      <w:r w:rsidR="00E442FE">
        <w:sym w:font="Wingdings" w:char="F0DF"/>
      </w:r>
      <w:r w:rsidR="00E442FE">
        <w:t xml:space="preserve">Ugye így, ilyen </w:t>
      </w:r>
      <w:r w:rsidR="003B381C">
        <w:t xml:space="preserve">kissé </w:t>
      </w:r>
      <w:r w:rsidR="00E442FE">
        <w:t xml:space="preserve">áthallásos, </w:t>
      </w:r>
      <w:r w:rsidR="003B381C">
        <w:t xml:space="preserve">sőt némileg már ennyi alapján is </w:t>
      </w:r>
      <w:r w:rsidR="00E442FE">
        <w:t xml:space="preserve">cinikus, stb. hangnemben nem illik egy tudományos művet kezdeni – mondanák bizonyára egyesek. De vajon miért is nem? Levon az bármit egy gondolat igazságtartalmából, ha a felhasznált szómágia nem éppen „PC = </w:t>
      </w:r>
      <w:proofErr w:type="spellStart"/>
      <w:r w:rsidR="00E442FE">
        <w:t>perfect</w:t>
      </w:r>
      <w:proofErr w:type="spellEnd"/>
      <w:r w:rsidR="00E442FE">
        <w:t xml:space="preserve"> </w:t>
      </w:r>
      <w:proofErr w:type="spellStart"/>
      <w:r w:rsidR="00E442FE">
        <w:t>canonised</w:t>
      </w:r>
      <w:proofErr w:type="spellEnd"/>
      <w:r w:rsidR="00E442FE">
        <w:t xml:space="preserve">”? Erre a kérdésre itt és most nem fog senki további válaszokat keresni </w:t>
      </w:r>
      <w:r w:rsidR="00E442FE">
        <w:sym w:font="Wingdings" w:char="F0DF"/>
      </w:r>
      <w:r w:rsidR="00E442FE">
        <w:t>”</w:t>
      </w:r>
      <w:proofErr w:type="gramStart"/>
      <w:r w:rsidR="00E442FE">
        <w:t>…</w:t>
      </w:r>
      <w:proofErr w:type="spellStart"/>
      <w:r w:rsidR="00E442FE" w:rsidRPr="00E442FE">
        <w:t>aber</w:t>
      </w:r>
      <w:proofErr w:type="spellEnd"/>
      <w:proofErr w:type="gramEnd"/>
      <w:r w:rsidR="00E442FE" w:rsidRPr="00E442FE">
        <w:t xml:space="preserve"> </w:t>
      </w:r>
      <w:proofErr w:type="spellStart"/>
      <w:r w:rsidR="00E442FE" w:rsidRPr="00E442FE">
        <w:t>das</w:t>
      </w:r>
      <w:proofErr w:type="spellEnd"/>
      <w:r w:rsidR="00E442FE" w:rsidRPr="00E442FE">
        <w:t xml:space="preserve"> </w:t>
      </w:r>
      <w:proofErr w:type="spellStart"/>
      <w:r w:rsidR="00E442FE" w:rsidRPr="00E442FE">
        <w:t>soll</w:t>
      </w:r>
      <w:proofErr w:type="spellEnd"/>
      <w:r w:rsidR="00E442FE" w:rsidRPr="00E442FE">
        <w:t xml:space="preserve"> </w:t>
      </w:r>
      <w:proofErr w:type="spellStart"/>
      <w:r w:rsidR="00E442FE" w:rsidRPr="00E442FE">
        <w:t>ein</w:t>
      </w:r>
      <w:proofErr w:type="spellEnd"/>
      <w:r w:rsidR="00E442FE" w:rsidRPr="00E442FE">
        <w:t xml:space="preserve"> </w:t>
      </w:r>
      <w:proofErr w:type="spellStart"/>
      <w:r w:rsidR="00E442FE" w:rsidRPr="00E442FE">
        <w:t>anderes</w:t>
      </w:r>
      <w:proofErr w:type="spellEnd"/>
      <w:r w:rsidR="00E442FE" w:rsidRPr="00E442FE">
        <w:t xml:space="preserve"> </w:t>
      </w:r>
      <w:proofErr w:type="spellStart"/>
      <w:r w:rsidR="00E442FE" w:rsidRPr="00E442FE">
        <w:t>Mal</w:t>
      </w:r>
      <w:proofErr w:type="spellEnd"/>
      <w:r w:rsidR="00E442FE" w:rsidRPr="00E442FE">
        <w:t xml:space="preserve"> </w:t>
      </w:r>
      <w:proofErr w:type="spellStart"/>
      <w:r w:rsidR="00E442FE" w:rsidRPr="00E442FE">
        <w:t>erzählt</w:t>
      </w:r>
      <w:proofErr w:type="spellEnd"/>
      <w:r w:rsidR="00E442FE" w:rsidRPr="00E442FE">
        <w:t xml:space="preserve"> </w:t>
      </w:r>
      <w:proofErr w:type="spellStart"/>
      <w:r w:rsidR="00E442FE" w:rsidRPr="00E442FE">
        <w:t>werden</w:t>
      </w:r>
      <w:proofErr w:type="spellEnd"/>
      <w:r w:rsidR="00E442FE">
        <w:t>…”</w:t>
      </w:r>
    </w:p>
    <w:p w:rsidR="00E442FE" w:rsidRDefault="00E442FE" w:rsidP="00A843ED">
      <w:pPr>
        <w:jc w:val="both"/>
      </w:pPr>
      <w:r>
        <w:t xml:space="preserve">A felsőoktatási személyügyi döntések kapcsán bizonyára felmerült már egyesekben a költői kérdés: vajon minden esetben a tudás fellegváraihoz méltó objektivitással születnek-e </w:t>
      </w:r>
      <w:r w:rsidR="003B381C">
        <w:t xml:space="preserve">meg ezek </w:t>
      </w:r>
      <w:r>
        <w:t>a döntések? S a prózai válasz vélhetően itt-ott a</w:t>
      </w:r>
      <w:r w:rsidR="00AA4686">
        <w:t xml:space="preserve"> </w:t>
      </w:r>
      <w:r>
        <w:t>”</w:t>
      </w:r>
      <w:r w:rsidR="003B381C">
        <w:t>NEM!</w:t>
      </w:r>
      <w:r>
        <w:t xml:space="preserve">” (vö. </w:t>
      </w:r>
      <w:r w:rsidRPr="00E442FE">
        <w:t>FI69207, KT-247/2016</w:t>
      </w:r>
      <w:r>
        <w:t xml:space="preserve">, vagyis a </w:t>
      </w:r>
      <w:proofErr w:type="spellStart"/>
      <w:r>
        <w:t>true</w:t>
      </w:r>
      <w:proofErr w:type="spellEnd"/>
      <w:r>
        <w:t xml:space="preserve"> story egyik horgonypontja ezen iktatószámokon érhető el valahol az SAP adatbázisok mélyen ma is</w:t>
      </w:r>
      <w:r w:rsidRPr="00E442FE">
        <w:t>)</w:t>
      </w:r>
      <w:r w:rsidR="003B381C">
        <w:t>…</w:t>
      </w:r>
    </w:p>
    <w:p w:rsidR="00E442FE" w:rsidRDefault="003B381C" w:rsidP="00A843ED">
      <w:pPr>
        <w:jc w:val="both"/>
      </w:pPr>
      <w:r>
        <w:t xml:space="preserve">Némi </w:t>
      </w:r>
      <w:proofErr w:type="spellStart"/>
      <w:r>
        <w:t>művészieskedés</w:t>
      </w:r>
      <w:proofErr w:type="spellEnd"/>
      <w:r>
        <w:t xml:space="preserve"> keretében, de t</w:t>
      </w:r>
      <w:r w:rsidR="00AA4686">
        <w:t>együk fel, hogy egy kutató annyira szereti szakmáját, hogy addig is, míg éppen kirúgása szubjektivitásainak feltárásával foglalkozik</w:t>
      </w:r>
      <w:r>
        <w:t xml:space="preserve"> kényszerűen</w:t>
      </w:r>
      <w:r w:rsidR="00AA4686">
        <w:t xml:space="preserve">, érdekességképpen besegít egy nála érdeklődő </w:t>
      </w:r>
      <w:r>
        <w:t xml:space="preserve">barátnak, aki nem mellesleg egy </w:t>
      </w:r>
      <w:r w:rsidR="00AA4686">
        <w:t xml:space="preserve">munkaügyi </w:t>
      </w:r>
      <w:r>
        <w:t>jogász, annak az extrém problémának a megoldásában</w:t>
      </w:r>
      <w:r w:rsidR="00AA4686">
        <w:t xml:space="preserve">, miként </w:t>
      </w:r>
      <w:r>
        <w:t xml:space="preserve">is </w:t>
      </w:r>
      <w:r w:rsidR="00AA4686">
        <w:t xml:space="preserve">lehetne esetleg (no de ez számára </w:t>
      </w:r>
      <w:r>
        <w:t xml:space="preserve">tényleg </w:t>
      </w:r>
      <w:r w:rsidR="00AA4686">
        <w:t xml:space="preserve">csak egy baráti gondolatkísérlet!) </w:t>
      </w:r>
      <w:proofErr w:type="gramStart"/>
      <w:r w:rsidR="00AA4686">
        <w:t>matematikailag</w:t>
      </w:r>
      <w:proofErr w:type="gramEnd"/>
      <w:r w:rsidR="00AA4686">
        <w:t xml:space="preserve"> fogást találni egy látszólag ideális munkatárson, aki sajnos pl. szakszervezeti vezetőként, önkéntes minőségbiztosítóként „nehezíti” adott munkáltató dolgát? A kutató egy szép napon azonban arra ébred az előző napok postáját álmában is értelmező intuitív ébresztőórája virtuális csörgésére, hogy az őt fenyegető munkaadó nagyon is intelligens módon lavírozgat. A reggeli tükörbenézéskor esik le neki</w:t>
      </w:r>
      <w:r>
        <w:t>, s egyből széles mosollyal nyugtázza</w:t>
      </w:r>
      <w:r w:rsidR="00AA4686">
        <w:t xml:space="preserve"> a felismerést, hogy itt ő már semmiképpen sem veszíthet – hiszen saját maga ellen „harcol”… (Kaffka und Freud </w:t>
      </w:r>
      <w:proofErr w:type="spellStart"/>
      <w:r w:rsidR="00AA4686">
        <w:lastRenderedPageBreak/>
        <w:t>lassen</w:t>
      </w:r>
      <w:proofErr w:type="spellEnd"/>
      <w:r w:rsidR="00AA4686">
        <w:t xml:space="preserve"> </w:t>
      </w:r>
      <w:proofErr w:type="spellStart"/>
      <w:r w:rsidR="00AA4686">
        <w:t>sich</w:t>
      </w:r>
      <w:proofErr w:type="spellEnd"/>
      <w:r w:rsidR="00AA4686">
        <w:t xml:space="preserve"> </w:t>
      </w:r>
      <w:proofErr w:type="spellStart"/>
      <w:r w:rsidR="00AA4686">
        <w:t>grüssen</w:t>
      </w:r>
      <w:proofErr w:type="spellEnd"/>
      <w:r w:rsidR="00AA4686">
        <w:t>?</w:t>
      </w:r>
      <w:r w:rsidR="00946313">
        <w:t xml:space="preserve"> – itt ugye nincs horgonypont, vagyis ez csak egy abszurd fikció</w:t>
      </w:r>
      <w:r>
        <w:t xml:space="preserve"> – de: </w:t>
      </w:r>
      <w:proofErr w:type="spellStart"/>
      <w:r>
        <w:t>cogito</w:t>
      </w:r>
      <w:proofErr w:type="spellEnd"/>
      <w:r>
        <w:t xml:space="preserve"> ergo sum – bene sum:-</w:t>
      </w:r>
      <w:r w:rsidR="00AA4686">
        <w:t>)</w:t>
      </w:r>
    </w:p>
    <w:p w:rsidR="00AA4686" w:rsidRDefault="00AA4686" w:rsidP="00A843ED">
      <w:pPr>
        <w:jc w:val="both"/>
      </w:pPr>
      <w:r>
        <w:t xml:space="preserve">S ha már szakszervezet </w:t>
      </w:r>
      <w:r w:rsidR="00DA1EF6">
        <w:t xml:space="preserve">(vö. </w:t>
      </w:r>
      <w:r w:rsidR="00DA1EF6" w:rsidRPr="00DA1EF6">
        <w:t xml:space="preserve">01130/5834-22/2015 </w:t>
      </w:r>
      <w:proofErr w:type="spellStart"/>
      <w:r w:rsidR="00DA1EF6" w:rsidRPr="00DA1EF6">
        <w:t>bü</w:t>
      </w:r>
      <w:proofErr w:type="spellEnd"/>
      <w:r w:rsidR="00DA1EF6" w:rsidRPr="00DA1EF6">
        <w:t>.</w:t>
      </w:r>
      <w:r w:rsidR="00DA1EF6">
        <w:t xml:space="preserve"> – egy újabb horgonypont valahonnan </w:t>
      </w:r>
      <w:r w:rsidR="003B381C">
        <w:t xml:space="preserve">talán éppen </w:t>
      </w:r>
      <w:r w:rsidR="00DA1EF6">
        <w:t xml:space="preserve">az ügyészségi archívumok mélyéről): </w:t>
      </w:r>
      <w:r w:rsidR="003B381C">
        <w:t>Vélhetően</w:t>
      </w:r>
      <w:r w:rsidR="00DA1EF6">
        <w:t xml:space="preserve"> senki sem hinné el</w:t>
      </w:r>
      <w:r w:rsidR="003B381C">
        <w:t xml:space="preserve"> elsőre</w:t>
      </w:r>
      <w:r w:rsidR="00DA1EF6">
        <w:t>, de a munkavállalóknak néha jobban kell félniük a szakszervezetek</w:t>
      </w:r>
      <w:r w:rsidR="003B381C">
        <w:t xml:space="preserve"> egyes tisztségviselői</w:t>
      </w:r>
      <w:r w:rsidR="00DA1EF6">
        <w:t>től, mint a munkaadóktól. Különösen, ha egy szakszervezeti vezető ellen azért kell nyomozni, mert a munkavállalóval írásban egyeztetett</w:t>
      </w:r>
      <w:r w:rsidR="003B381C">
        <w:t xml:space="preserve"> problémákat/kérdéseket</w:t>
      </w:r>
      <w:r w:rsidR="00DA1EF6">
        <w:t xml:space="preserve"> írásban felvállaltan ígérte meg, hogy közvetíteni fogja a munkaadó felé</w:t>
      </w:r>
      <w:r w:rsidR="003B381C">
        <w:t xml:space="preserve">, de: </w:t>
      </w:r>
      <w:r w:rsidR="00DA1EF6">
        <w:t>Mivel hosszú ideig nem érkezett válasz</w:t>
      </w:r>
      <w:r w:rsidR="003B381C">
        <w:t>,</w:t>
      </w:r>
      <w:r w:rsidR="00DA1EF6">
        <w:t xml:space="preserve"> a munkavállaló a havi tagdíja fejében már csak megkérdezte a szakszervezeti vezetőt: mi is lenne</w:t>
      </w:r>
      <w:r w:rsidR="003B381C">
        <w:t xml:space="preserve"> szerinte</w:t>
      </w:r>
      <w:r w:rsidR="00DA1EF6">
        <w:t xml:space="preserve"> a következő lépés? Felszólításra került már a munkáltató</w:t>
      </w:r>
      <w:r w:rsidR="003B381C">
        <w:t>, hogy tanúsítson jogkövető és etikus magatartást</w:t>
      </w:r>
      <w:r w:rsidR="00DA1EF6">
        <w:t xml:space="preserve">? Erre már nem nagyon volt szakszervezeti válasz – s főleg arra munkavállalói kérdésre nem született válasz soha: Hol a bizonyítéka (értsd: tértivevénye) annak a levélnek, melyben a szakszervezet (fizetett alvállalkozó?) </w:t>
      </w:r>
      <w:proofErr w:type="gramStart"/>
      <w:r w:rsidR="00DA1EF6">
        <w:t>a</w:t>
      </w:r>
      <w:proofErr w:type="gramEnd"/>
      <w:r w:rsidR="00DA1EF6">
        <w:t xml:space="preserve"> gondos munkavégzését igazolni tudja? Ilyen tértivevény nincs és soha nem is volt… Vajon mit tesz majd a jogállam? (</w:t>
      </w:r>
      <w:r w:rsidR="00F31910">
        <w:sym w:font="Wingdings" w:char="F0DF"/>
      </w:r>
      <w:proofErr w:type="gramStart"/>
      <w:r w:rsidR="00DA1EF6">
        <w:t>…und</w:t>
      </w:r>
      <w:proofErr w:type="gramEnd"/>
      <w:r w:rsidR="00DA1EF6">
        <w:t xml:space="preserve"> </w:t>
      </w:r>
      <w:proofErr w:type="spellStart"/>
      <w:r w:rsidR="00DA1EF6">
        <w:t>auch</w:t>
      </w:r>
      <w:proofErr w:type="spellEnd"/>
      <w:r w:rsidR="00DA1EF6">
        <w:t xml:space="preserve"> </w:t>
      </w:r>
      <w:proofErr w:type="spellStart"/>
      <w:r w:rsidR="00DA1EF6">
        <w:t>das</w:t>
      </w:r>
      <w:proofErr w:type="spellEnd"/>
      <w:r w:rsidR="00DA1EF6">
        <w:t xml:space="preserve"> </w:t>
      </w:r>
      <w:proofErr w:type="spellStart"/>
      <w:r w:rsidR="00DA1EF6">
        <w:t>soll</w:t>
      </w:r>
      <w:proofErr w:type="spellEnd"/>
      <w:r w:rsidR="00DA1EF6">
        <w:t xml:space="preserve"> </w:t>
      </w:r>
      <w:proofErr w:type="spellStart"/>
      <w:r w:rsidR="00DA1EF6">
        <w:t>ein</w:t>
      </w:r>
      <w:proofErr w:type="spellEnd"/>
      <w:r w:rsidR="00DA1EF6">
        <w:t xml:space="preserve"> </w:t>
      </w:r>
      <w:proofErr w:type="spellStart"/>
      <w:r w:rsidR="00DA1EF6">
        <w:t>anderes</w:t>
      </w:r>
      <w:proofErr w:type="spellEnd"/>
      <w:r w:rsidR="00DA1EF6">
        <w:t xml:space="preserve"> </w:t>
      </w:r>
      <w:proofErr w:type="spellStart"/>
      <w:r w:rsidR="00DA1EF6">
        <w:t>Mal</w:t>
      </w:r>
      <w:proofErr w:type="spellEnd"/>
      <w:r w:rsidR="00DA1EF6">
        <w:t xml:space="preserve"> </w:t>
      </w:r>
      <w:proofErr w:type="spellStart"/>
      <w:r w:rsidR="00DA1EF6">
        <w:t>erzählt</w:t>
      </w:r>
      <w:proofErr w:type="spellEnd"/>
      <w:r w:rsidR="00DA1EF6">
        <w:t xml:space="preserve"> </w:t>
      </w:r>
      <w:proofErr w:type="spellStart"/>
      <w:r w:rsidR="00DA1EF6">
        <w:t>werden</w:t>
      </w:r>
      <w:proofErr w:type="spellEnd"/>
      <w:r w:rsidR="00DA1EF6">
        <w:t>…)</w:t>
      </w:r>
    </w:p>
    <w:p w:rsidR="00AA4686" w:rsidRDefault="00946313" w:rsidP="00A843ED">
      <w:pPr>
        <w:jc w:val="both"/>
      </w:pPr>
      <w:r>
        <w:t xml:space="preserve">A </w:t>
      </w:r>
      <w:r w:rsidR="00BB69EE">
        <w:t xml:space="preserve">fenti </w:t>
      </w:r>
      <w:r>
        <w:t>valós és fiktív gondolatkísérleti rétegek talán kellően érzékletesen mutatnak rá arra</w:t>
      </w:r>
      <w:r w:rsidR="00F31910">
        <w:t xml:space="preserve"> az abszurd helyzetsorozatra</w:t>
      </w:r>
      <w:r>
        <w:t xml:space="preserve">, hogy az Ember, mint olyan saját magával szúr ki, ha az Emberről </w:t>
      </w:r>
      <w:proofErr w:type="spellStart"/>
      <w:r>
        <w:t>eMBEREK</w:t>
      </w:r>
      <w:proofErr w:type="spellEnd"/>
      <w:r>
        <w:t xml:space="preserve"> döntenek…</w:t>
      </w:r>
      <w:r w:rsidR="00A63BEE">
        <w:t xml:space="preserve"> (vö. </w:t>
      </w:r>
      <w:proofErr w:type="spellStart"/>
      <w:r w:rsidR="00A63BEE">
        <w:t>eMBER</w:t>
      </w:r>
      <w:proofErr w:type="spellEnd"/>
      <w:r w:rsidR="00A63BEE">
        <w:t xml:space="preserve"> Embernek farkasa)…</w:t>
      </w:r>
    </w:p>
    <w:p w:rsidR="00BB69EE" w:rsidRDefault="00BB69EE" w:rsidP="00A843ED">
      <w:pPr>
        <w:jc w:val="both"/>
      </w:pPr>
      <w:r>
        <w:t>Akit zavart a tudományos művektől idegen hangvétel</w:t>
      </w:r>
      <w:r w:rsidR="00F31910">
        <w:t xml:space="preserve"> a hangütésbe</w:t>
      </w:r>
      <w:r>
        <w:t xml:space="preserve">n, kérem, tekintse úgy, hogy tévedésből egy kezdő </w:t>
      </w:r>
      <w:proofErr w:type="spellStart"/>
      <w:r>
        <w:t>stand-up-os</w:t>
      </w:r>
      <w:proofErr w:type="spellEnd"/>
      <w:r>
        <w:t xml:space="preserve"> (</w:t>
      </w:r>
      <w:proofErr w:type="spellStart"/>
      <w:r>
        <w:t>write-up-os</w:t>
      </w:r>
      <w:proofErr w:type="spellEnd"/>
      <w:r>
        <w:t xml:space="preserve">?) </w:t>
      </w:r>
      <w:proofErr w:type="gramStart"/>
      <w:r>
        <w:t>kézirat</w:t>
      </w:r>
      <w:proofErr w:type="gramEnd"/>
      <w:r>
        <w:t xml:space="preserve"> egy </w:t>
      </w:r>
      <w:r w:rsidR="00F31910">
        <w:t xml:space="preserve">kósza </w:t>
      </w:r>
      <w:r>
        <w:t xml:space="preserve">lapja keveredett bele egy </w:t>
      </w:r>
      <w:r w:rsidR="00F31910">
        <w:t xml:space="preserve">kánon-közeli </w:t>
      </w:r>
      <w:r>
        <w:t>konferencia-kötetbe a nyomda minőségbiztosítási hiányosságai, és/vagy</w:t>
      </w:r>
      <w:r w:rsidR="00F31910">
        <w:t xml:space="preserve"> éppenséggel</w:t>
      </w:r>
      <w:r>
        <w:t xml:space="preserve"> egy nyomdai dolgozó polgári engedetlenségi akciója nyomán…</w:t>
      </w:r>
    </w:p>
    <w:p w:rsidR="00083D22" w:rsidRDefault="00083D22" w:rsidP="00BB69EE">
      <w:pPr>
        <w:jc w:val="both"/>
      </w:pPr>
      <w:r>
        <w:t>Már óvatosan közeledve az elvárható stilisztikai „minimumokhoz”:</w:t>
      </w:r>
    </w:p>
    <w:p w:rsidR="00621F48" w:rsidRDefault="00946313" w:rsidP="00BB69EE">
      <w:pPr>
        <w:jc w:val="both"/>
      </w:pPr>
      <w:proofErr w:type="spellStart"/>
      <w:r>
        <w:t>In</w:t>
      </w:r>
      <w:proofErr w:type="spellEnd"/>
      <w:r>
        <w:t xml:space="preserve"> medias res</w:t>
      </w:r>
      <w:r w:rsidR="001017CF">
        <w:t xml:space="preserve"> – avagy egy gondolatkísérlet megalapozása</w:t>
      </w:r>
      <w:r>
        <w:t xml:space="preserve">: </w:t>
      </w:r>
      <w:r w:rsidR="00083D22">
        <w:t xml:space="preserve">Tegyük fel </w:t>
      </w:r>
      <w:r w:rsidR="00A63BEE">
        <w:t>(vö. 476-1/2016</w:t>
      </w:r>
      <w:r w:rsidR="00083D22">
        <w:t xml:space="preserve"> – újabb horgonypont a </w:t>
      </w:r>
      <w:proofErr w:type="spellStart"/>
      <w:r w:rsidR="00083D22">
        <w:t>true-stories-adatbázisból</w:t>
      </w:r>
      <w:proofErr w:type="spellEnd"/>
      <w:r w:rsidR="00A63BEE">
        <w:t>)</w:t>
      </w:r>
      <w:r w:rsidR="00083D22">
        <w:t>, hogy</w:t>
      </w:r>
      <w:r w:rsidR="00A63BEE">
        <w:t xml:space="preserve"> egy hazai felsőoktatási intézmény </w:t>
      </w:r>
      <w:r w:rsidR="00BB69EE">
        <w:t>a közismert</w:t>
      </w:r>
      <w:r w:rsidR="00083D22">
        <w:t>nek remélt/vélt</w:t>
      </w:r>
      <w:r w:rsidR="00BB69EE">
        <w:t xml:space="preserve"> anomáliák alapján úgy dönt, </w:t>
      </w:r>
      <w:r w:rsidR="00083D22">
        <w:t xml:space="preserve">végre </w:t>
      </w:r>
      <w:proofErr w:type="spellStart"/>
      <w:r w:rsidR="00BB69EE">
        <w:t>objektivizálni</w:t>
      </w:r>
      <w:proofErr w:type="spellEnd"/>
      <w:r w:rsidR="00BB69EE">
        <w:t xml:space="preserve"> szeretné az egyetemi oktatók előrelépéséhez elvárt tudományos teljesítmény</w:t>
      </w:r>
      <w:r w:rsidR="00083D22">
        <w:t>ek</w:t>
      </w:r>
      <w:r w:rsidR="00BB69EE">
        <w:t xml:space="preserve"> mérését. Ehhez határozatot hoz. Ennek </w:t>
      </w:r>
      <w:r w:rsidR="00083D22">
        <w:t>megalapozásához</w:t>
      </w:r>
      <w:r w:rsidR="00BB69EE">
        <w:t xml:space="preserve"> a döntés-előkészítést végző személy megkérdez </w:t>
      </w:r>
      <w:r w:rsidR="00083D22">
        <w:t>bizonyára</w:t>
      </w:r>
      <w:r w:rsidR="00BB69EE">
        <w:t xml:space="preserve"> ezt-azt, de vélelmezhetően nem mindenkit, s nem feltétlenül azokat, akik a leginkább kötődnek a több-dimenziós értékelések módszertanának témaköréhez. </w:t>
      </w:r>
      <w:r w:rsidR="00215769">
        <w:t>Nem mellesleg</w:t>
      </w:r>
      <w:r w:rsidR="00621F48">
        <w:t xml:space="preserve"> tehát</w:t>
      </w:r>
      <w:r w:rsidR="00215769">
        <w:t xml:space="preserve"> már az is komoly szakmai kérdés nem csak a felsőoktatásban</w:t>
      </w:r>
      <w:r w:rsidR="00621F48">
        <w:t>, hanem a tudásmenedzsment teljes HR-t érintő területén</w:t>
      </w:r>
      <w:r w:rsidR="00215769">
        <w:t xml:space="preserve">, </w:t>
      </w:r>
      <w:proofErr w:type="gramStart"/>
      <w:r w:rsidR="00215769">
        <w:t>ki</w:t>
      </w:r>
      <w:r w:rsidR="00621F48">
        <w:t>(</w:t>
      </w:r>
      <w:proofErr w:type="gramEnd"/>
      <w:r w:rsidR="00621F48">
        <w:t>k)</w:t>
      </w:r>
      <w:r w:rsidR="00215769">
        <w:t xml:space="preserve"> is az</w:t>
      </w:r>
      <w:r w:rsidR="00621F48">
        <w:t>(ok) a szakértő(k)</w:t>
      </w:r>
      <w:r w:rsidR="00215769">
        <w:t>, aki</w:t>
      </w:r>
      <w:r w:rsidR="00621F48">
        <w:t>(k)</w:t>
      </w:r>
      <w:r w:rsidR="00215769">
        <w:t xml:space="preserve"> adott szakterületen a leginkább megkerülhetetlen szaktekintély</w:t>
      </w:r>
      <w:r w:rsidR="00621F48">
        <w:t>(</w:t>
      </w:r>
      <w:proofErr w:type="spellStart"/>
      <w:r w:rsidR="00621F48">
        <w:t>ek</w:t>
      </w:r>
      <w:proofErr w:type="spellEnd"/>
      <w:r w:rsidR="00621F48">
        <w:t>)?</w:t>
      </w:r>
      <w:r w:rsidR="00215769">
        <w:t xml:space="preserve"> </w:t>
      </w:r>
    </w:p>
    <w:p w:rsidR="00946313" w:rsidRDefault="00215769" w:rsidP="00BB69EE">
      <w:pPr>
        <w:jc w:val="both"/>
      </w:pPr>
      <w:r>
        <w:t xml:space="preserve">A </w:t>
      </w:r>
      <w:proofErr w:type="spellStart"/>
      <w:r>
        <w:t>nemzetköziesedés</w:t>
      </w:r>
      <w:proofErr w:type="spellEnd"/>
      <w:r>
        <w:t xml:space="preserve"> egyik hazai eredménye a </w:t>
      </w:r>
      <w:proofErr w:type="spellStart"/>
      <w:r>
        <w:t>SciVal</w:t>
      </w:r>
      <w:proofErr w:type="spellEnd"/>
      <w:r>
        <w:t xml:space="preserve"> Hungary szolgáltatása is csak inputokat ad </w:t>
      </w:r>
      <w:proofErr w:type="gramStart"/>
      <w:r>
        <w:t>ezen</w:t>
      </w:r>
      <w:proofErr w:type="gramEnd"/>
      <w:r>
        <w:t xml:space="preserve"> több-dimenziós értékelési problémához (vö. </w:t>
      </w:r>
      <w:hyperlink r:id="rId6" w:history="1">
        <w:r w:rsidRPr="004A7D69">
          <w:rPr>
            <w:rStyle w:val="Hiperhivatkozs"/>
          </w:rPr>
          <w:t>https://hungary.pure.elsevier.com/</w:t>
        </w:r>
      </w:hyperlink>
      <w:r>
        <w:t xml:space="preserve">). Tehát az átlag döntéshozó már a tudás fellegváraiban ahhoz sem kap </w:t>
      </w:r>
      <w:r w:rsidR="00621F48">
        <w:t xml:space="preserve">látszólag és egyelőre érdemi </w:t>
      </w:r>
      <w:r>
        <w:t xml:space="preserve">segítséget, vajon kivel is illene saját háza táján egyeztetnie. Különösen akkor nem, ha a munkatársak nincsenek is a </w:t>
      </w:r>
      <w:proofErr w:type="spellStart"/>
      <w:r>
        <w:t>SciVal</w:t>
      </w:r>
      <w:proofErr w:type="spellEnd"/>
      <w:r>
        <w:t xml:space="preserve"> </w:t>
      </w:r>
      <w:proofErr w:type="spellStart"/>
      <w:r>
        <w:t>finger-printjével</w:t>
      </w:r>
      <w:proofErr w:type="spellEnd"/>
      <w:r>
        <w:t xml:space="preserve"> ellátva, s maga az intézmény a dolgozóihoz kötődő pl. 100-100 kulcsszót sem önbevallás után, sem pl. a publikációk szövegbányászati feltárása után nem készítette el </w:t>
      </w:r>
      <w:r w:rsidR="00621F48">
        <w:t xml:space="preserve">- </w:t>
      </w:r>
      <w:r>
        <w:t>hiába érkezett erre időről időre javaslat innen-onnan.</w:t>
      </w:r>
      <w:r w:rsidR="001119D3">
        <w:t xml:space="preserve"> Ha nincs is mindenki a </w:t>
      </w:r>
      <w:proofErr w:type="spellStart"/>
      <w:r w:rsidR="001119D3">
        <w:t>SciVal-ban</w:t>
      </w:r>
      <w:proofErr w:type="spellEnd"/>
      <w:r w:rsidR="001119D3">
        <w:t xml:space="preserve"> (vajon kik és miért pont ők vannak benne? </w:t>
      </w:r>
      <w:r w:rsidR="00621F48">
        <w:sym w:font="Wingdings" w:char="F0DF"/>
      </w:r>
      <w:proofErr w:type="gramStart"/>
      <w:r w:rsidR="00621F48">
        <w:t>ami</w:t>
      </w:r>
      <w:proofErr w:type="gramEnd"/>
      <w:r w:rsidR="001119D3">
        <w:t xml:space="preserve"> ismét </w:t>
      </w:r>
      <w:r w:rsidR="00621F48">
        <w:t xml:space="preserve">csak </w:t>
      </w:r>
      <w:r w:rsidR="001119D3">
        <w:t>egy tudományosan érdekes, de éppen</w:t>
      </w:r>
      <w:r w:rsidR="00621F48">
        <w:t xml:space="preserve"> hogy</w:t>
      </w:r>
      <w:r w:rsidR="001119D3">
        <w:t xml:space="preserve"> tudományosan nem kezelt kérdés?!), de az </w:t>
      </w:r>
      <w:proofErr w:type="spellStart"/>
      <w:r w:rsidR="001119D3">
        <w:t>MTMT-ben</w:t>
      </w:r>
      <w:proofErr w:type="spellEnd"/>
      <w:r w:rsidR="001119D3">
        <w:t xml:space="preserve"> már egészen sokan vannak – szerencsére (vö. </w:t>
      </w:r>
      <w:hyperlink r:id="rId7" w:history="1">
        <w:r w:rsidR="001119D3" w:rsidRPr="004A7D69">
          <w:rPr>
            <w:rStyle w:val="Hiperhivatkozs"/>
          </w:rPr>
          <w:t>http://miau.gau.hu/miau/208/20151120_v2.pdf</w:t>
        </w:r>
      </w:hyperlink>
      <w:r w:rsidR="00621F48">
        <w:t xml:space="preserve"> </w:t>
      </w:r>
      <w:r w:rsidR="00621F48">
        <w:sym w:font="Wingdings" w:char="F0DF"/>
      </w:r>
      <w:r w:rsidR="001119D3">
        <w:t>hogy ez a fejlődés se legyen mentes az árnyoldalaktól)…</w:t>
      </w:r>
    </w:p>
    <w:p w:rsidR="00215769" w:rsidRDefault="00621F48" w:rsidP="00BB69EE">
      <w:pPr>
        <w:jc w:val="both"/>
      </w:pPr>
      <w:r>
        <w:t>S ezzel el is jutottunk a lényeghez, vagyis a képzelt intézmény képzelt kari határozatához</w:t>
      </w:r>
      <w:r w:rsidR="00486095">
        <w:t xml:space="preserve">, s mindazon kérdésekhez, melyet egy ilyen dokumentum azokban fel illene, hogy vessen, akikre ez tételesen </w:t>
      </w:r>
      <w:r w:rsidR="00486095">
        <w:lastRenderedPageBreak/>
        <w:t>vonatkozik – jelen esetben a példa kedvéért egyetemi docensekre, akik talán egyszer egyetemi tanárokká akarnak/szeretnének/fognak vagy éppen nem fognak válni…</w:t>
      </w:r>
    </w:p>
    <w:p w:rsidR="00247BD7" w:rsidRDefault="00486095" w:rsidP="00486095">
      <w:pPr>
        <w:pStyle w:val="Cmsor1"/>
      </w:pPr>
      <w:r>
        <w:t xml:space="preserve">Bevezetés </w:t>
      </w:r>
      <w:r w:rsidR="004F3604">
        <w:t>- helyzetértékelés</w:t>
      </w:r>
    </w:p>
    <w:p w:rsidR="00247BD7" w:rsidRDefault="00247BD7" w:rsidP="00247BD7">
      <w:r>
        <w:t xml:space="preserve">A cikk alapját számos korábbi adatbázis/tanulmány adja: </w:t>
      </w:r>
      <w:r w:rsidR="00452761">
        <w:t xml:space="preserve">vö. </w:t>
      </w:r>
      <w:r>
        <w:t>pl.</w:t>
      </w:r>
    </w:p>
    <w:p w:rsidR="00247BD7" w:rsidRDefault="00B078E9" w:rsidP="00247BD7">
      <w:pPr>
        <w:pStyle w:val="Listaszerbekezds"/>
        <w:numPr>
          <w:ilvl w:val="0"/>
          <w:numId w:val="3"/>
        </w:numPr>
      </w:pPr>
      <w:hyperlink r:id="rId8" w:history="1">
        <w:r w:rsidR="00247BD7" w:rsidRPr="004A7D69">
          <w:rPr>
            <w:rStyle w:val="Hiperhivatkozs"/>
          </w:rPr>
          <w:t>http://miau.gau.hu/miau/65/tdketika.xls</w:t>
        </w:r>
      </w:hyperlink>
      <w:r w:rsidR="00247BD7">
        <w:t xml:space="preserve"> </w:t>
      </w:r>
    </w:p>
    <w:p w:rsidR="00452761" w:rsidRDefault="00B078E9" w:rsidP="00452761">
      <w:pPr>
        <w:pStyle w:val="Listaszerbekezds"/>
        <w:numPr>
          <w:ilvl w:val="0"/>
          <w:numId w:val="3"/>
        </w:numPr>
      </w:pPr>
      <w:hyperlink r:id="rId9" w:history="1">
        <w:r w:rsidR="00452761" w:rsidRPr="004A7D69">
          <w:rPr>
            <w:rStyle w:val="Hiperhivatkozs"/>
          </w:rPr>
          <w:t>http://miau.gau.hu/miau/147/anonim_tdk.xls</w:t>
        </w:r>
      </w:hyperlink>
      <w:r w:rsidR="00452761">
        <w:t xml:space="preserve"> </w:t>
      </w:r>
    </w:p>
    <w:p w:rsidR="004F3604" w:rsidRDefault="00B078E9" w:rsidP="004F3604">
      <w:pPr>
        <w:pStyle w:val="Listaszerbekezds"/>
        <w:numPr>
          <w:ilvl w:val="0"/>
          <w:numId w:val="3"/>
        </w:numPr>
      </w:pPr>
      <w:hyperlink r:id="rId10" w:history="1">
        <w:r w:rsidR="004F3604" w:rsidRPr="004A7D69">
          <w:rPr>
            <w:rStyle w:val="Hiperhivatkozs"/>
          </w:rPr>
          <w:t>http://miau.gau.hu/miau/180/plagium_v2.docx</w:t>
        </w:r>
      </w:hyperlink>
      <w:r w:rsidR="004F3604">
        <w:t xml:space="preserve"> </w:t>
      </w:r>
    </w:p>
    <w:p w:rsidR="00247BD7" w:rsidRDefault="00B078E9" w:rsidP="00247BD7">
      <w:pPr>
        <w:pStyle w:val="Listaszerbekezds"/>
        <w:numPr>
          <w:ilvl w:val="0"/>
          <w:numId w:val="3"/>
        </w:numPr>
      </w:pPr>
      <w:hyperlink r:id="rId11" w:history="1">
        <w:r w:rsidR="00247BD7" w:rsidRPr="004A7D69">
          <w:rPr>
            <w:rStyle w:val="Hiperhivatkozs"/>
          </w:rPr>
          <w:t>http://miau.gau.hu/miau/181/etdk_2013_v4.doc</w:t>
        </w:r>
      </w:hyperlink>
      <w:r w:rsidR="00247BD7">
        <w:t xml:space="preserve"> </w:t>
      </w:r>
    </w:p>
    <w:p w:rsidR="00247BD7" w:rsidRDefault="00B078E9" w:rsidP="00247BD7">
      <w:pPr>
        <w:pStyle w:val="Listaszerbekezds"/>
        <w:numPr>
          <w:ilvl w:val="0"/>
          <w:numId w:val="3"/>
        </w:numPr>
      </w:pPr>
      <w:hyperlink r:id="rId12" w:history="1">
        <w:r w:rsidR="00247BD7" w:rsidRPr="004A7D69">
          <w:rPr>
            <w:rStyle w:val="Hiperhivatkozs"/>
          </w:rPr>
          <w:t>http://miau.gau.hu/miau/182/etdk2013_baczai_gyorgyne.pdf</w:t>
        </w:r>
      </w:hyperlink>
      <w:r w:rsidR="00247BD7">
        <w:t xml:space="preserve"> </w:t>
      </w:r>
    </w:p>
    <w:p w:rsidR="00247BD7" w:rsidRDefault="00B078E9" w:rsidP="00247BD7">
      <w:pPr>
        <w:pStyle w:val="Listaszerbekezds"/>
        <w:numPr>
          <w:ilvl w:val="0"/>
          <w:numId w:val="3"/>
        </w:numPr>
      </w:pPr>
      <w:hyperlink r:id="rId13" w:history="1">
        <w:r w:rsidR="00247BD7" w:rsidRPr="004A7D69">
          <w:rPr>
            <w:rStyle w:val="Hiperhivatkozs"/>
          </w:rPr>
          <w:t>http://miau.gau.hu/miau/183/etdk2013_v3.doc</w:t>
        </w:r>
      </w:hyperlink>
      <w:r w:rsidR="00247BD7">
        <w:t xml:space="preserve"> </w:t>
      </w:r>
    </w:p>
    <w:p w:rsidR="00247BD7" w:rsidRDefault="00B078E9" w:rsidP="00247BD7">
      <w:pPr>
        <w:pStyle w:val="Listaszerbekezds"/>
        <w:numPr>
          <w:ilvl w:val="0"/>
          <w:numId w:val="3"/>
        </w:numPr>
      </w:pPr>
      <w:hyperlink r:id="rId14" w:history="1">
        <w:r w:rsidR="00247BD7" w:rsidRPr="004A7D69">
          <w:rPr>
            <w:rStyle w:val="Hiperhivatkozs"/>
          </w:rPr>
          <w:t>http://miau.gau.hu/miau/200/otdk_v2.doc</w:t>
        </w:r>
      </w:hyperlink>
      <w:r w:rsidR="00247BD7">
        <w:t xml:space="preserve"> </w:t>
      </w:r>
    </w:p>
    <w:p w:rsidR="00247BD7" w:rsidRDefault="00B078E9" w:rsidP="00247BD7">
      <w:pPr>
        <w:pStyle w:val="Listaszerbekezds"/>
        <w:numPr>
          <w:ilvl w:val="0"/>
          <w:numId w:val="3"/>
        </w:numPr>
      </w:pPr>
      <w:hyperlink r:id="rId15" w:history="1">
        <w:r w:rsidR="00247BD7" w:rsidRPr="004A7D69">
          <w:rPr>
            <w:rStyle w:val="Hiperhivatkozs"/>
          </w:rPr>
          <w:t>http://miau.gau.hu/miau/200/otdk_v1.doc</w:t>
        </w:r>
      </w:hyperlink>
      <w:r w:rsidR="00247BD7">
        <w:t xml:space="preserve"> </w:t>
      </w:r>
    </w:p>
    <w:p w:rsidR="00247BD7" w:rsidRDefault="00B078E9" w:rsidP="00247BD7">
      <w:pPr>
        <w:pStyle w:val="Listaszerbekezds"/>
        <w:numPr>
          <w:ilvl w:val="0"/>
          <w:numId w:val="3"/>
        </w:numPr>
      </w:pPr>
      <w:hyperlink r:id="rId16" w:history="1">
        <w:r w:rsidR="00247BD7" w:rsidRPr="004A7D69">
          <w:rPr>
            <w:rStyle w:val="Hiperhivatkozs"/>
          </w:rPr>
          <w:t>http://miau.gau.hu/miau/207/tdk_letra_v2.doc</w:t>
        </w:r>
      </w:hyperlink>
      <w:r w:rsidR="00247BD7">
        <w:t xml:space="preserve"> </w:t>
      </w:r>
    </w:p>
    <w:p w:rsidR="00247BD7" w:rsidRDefault="00B078E9" w:rsidP="00247BD7">
      <w:pPr>
        <w:pStyle w:val="Listaszerbekezds"/>
        <w:numPr>
          <w:ilvl w:val="0"/>
          <w:numId w:val="3"/>
        </w:numPr>
      </w:pPr>
      <w:hyperlink r:id="rId17" w:history="1">
        <w:r w:rsidR="00247BD7" w:rsidRPr="004A7D69">
          <w:rPr>
            <w:rStyle w:val="Hiperhivatkozs"/>
          </w:rPr>
          <w:t>http://miau.gau.hu/miau/210/mtmt_big_data_v1.doc</w:t>
        </w:r>
      </w:hyperlink>
    </w:p>
    <w:p w:rsidR="00247BD7" w:rsidRDefault="00247BD7" w:rsidP="00247BD7">
      <w:pPr>
        <w:jc w:val="both"/>
      </w:pPr>
      <w:proofErr w:type="gramStart"/>
      <w:r>
        <w:t>ahol</w:t>
      </w:r>
      <w:proofErr w:type="gramEnd"/>
      <w:r>
        <w:t xml:space="preserve"> az utolsó </w:t>
      </w:r>
      <w:r w:rsidR="00452761">
        <w:t>tételről alkotott vezető</w:t>
      </w:r>
      <w:r>
        <w:t>i vélemény: „</w:t>
      </w:r>
      <w:r w:rsidRPr="00247BD7">
        <w:rPr>
          <w:i/>
        </w:rPr>
        <w:t>Ez nagyon jó</w:t>
      </w:r>
      <w:r>
        <w:rPr>
          <w:i/>
        </w:rPr>
        <w:t>”</w:t>
      </w:r>
      <w:r w:rsidRPr="00247BD7">
        <w:t>, míg</w:t>
      </w:r>
      <w:r>
        <w:t xml:space="preserve"> a TDK-t érintő felvetések kapcsán talán egyedül csak az összeférhetetlenségre való odafigyelés kapcsán történtek érdemi lépések a rendelkezésre álló tapasztalatok keretében.</w:t>
      </w:r>
    </w:p>
    <w:p w:rsidR="00452761" w:rsidRDefault="00452761" w:rsidP="00247BD7">
      <w:pPr>
        <w:jc w:val="both"/>
      </w:pPr>
      <w:r>
        <w:t xml:space="preserve">A tudományosság kérdéskörét érintő előmunkálatok kapcsán érdemi hivatalos visszhang nincs: vö. pl. </w:t>
      </w:r>
    </w:p>
    <w:p w:rsidR="00452761" w:rsidRDefault="00B078E9" w:rsidP="00452761">
      <w:pPr>
        <w:pStyle w:val="Listaszerbekezds"/>
        <w:numPr>
          <w:ilvl w:val="0"/>
          <w:numId w:val="4"/>
        </w:numPr>
        <w:jc w:val="both"/>
      </w:pPr>
      <w:hyperlink r:id="rId18" w:history="1">
        <w:r w:rsidR="00452761" w:rsidRPr="004A7D69">
          <w:rPr>
            <w:rStyle w:val="Hiperhivatkozs"/>
          </w:rPr>
          <w:t>http://miau.gau.hu/miau2009/index.php3?x=e87</w:t>
        </w:r>
      </w:hyperlink>
      <w:r w:rsidR="00452761">
        <w:t xml:space="preserve"> </w:t>
      </w:r>
    </w:p>
    <w:p w:rsidR="00452761" w:rsidRDefault="00B078E9" w:rsidP="00452761">
      <w:pPr>
        <w:pStyle w:val="Listaszerbekezds"/>
        <w:numPr>
          <w:ilvl w:val="0"/>
          <w:numId w:val="4"/>
        </w:numPr>
        <w:jc w:val="both"/>
      </w:pPr>
      <w:hyperlink r:id="rId19" w:history="1">
        <w:r w:rsidR="00452761" w:rsidRPr="004A7D69">
          <w:rPr>
            <w:rStyle w:val="Hiperhivatkozs"/>
          </w:rPr>
          <w:t>http://miau.gau.hu/miau/208/20151120.pptx</w:t>
        </w:r>
      </w:hyperlink>
      <w:r w:rsidR="00452761">
        <w:t xml:space="preserve"> </w:t>
      </w:r>
    </w:p>
    <w:p w:rsidR="001304AD" w:rsidRDefault="001304AD" w:rsidP="001304AD">
      <w:pPr>
        <w:jc w:val="both"/>
      </w:pPr>
      <w:r>
        <w:t xml:space="preserve">S mielőtt továbblépne az Olvasó a következő fejezetekre, fontos önvizsgálati kérdéseket kell megválaszolnia saját maga számára: </w:t>
      </w:r>
    </w:p>
    <w:p w:rsidR="001304AD" w:rsidRDefault="001304AD" w:rsidP="001304AD">
      <w:pPr>
        <w:pStyle w:val="Listaszerbekezds"/>
        <w:numPr>
          <w:ilvl w:val="0"/>
          <w:numId w:val="6"/>
        </w:numPr>
        <w:jc w:val="both"/>
      </w:pPr>
      <w:r>
        <w:t>helyes lenne-e vizsgálni az emberek minősítésekor, hogy lehet-e mindenkit másként egyformának tekinteni?</w:t>
      </w:r>
    </w:p>
    <w:p w:rsidR="001304AD" w:rsidRDefault="001304AD" w:rsidP="001304AD">
      <w:pPr>
        <w:pStyle w:val="Listaszerbekezds"/>
        <w:numPr>
          <w:ilvl w:val="0"/>
          <w:numId w:val="6"/>
        </w:numPr>
        <w:jc w:val="both"/>
      </w:pPr>
      <w:r>
        <w:t>kell-e mindenkit másként egyformának tekinteni akarni?</w:t>
      </w:r>
    </w:p>
    <w:p w:rsidR="001304AD" w:rsidRDefault="001304AD" w:rsidP="001304AD">
      <w:pPr>
        <w:pStyle w:val="Listaszerbekezds"/>
        <w:numPr>
          <w:ilvl w:val="0"/>
          <w:numId w:val="6"/>
        </w:numPr>
        <w:jc w:val="both"/>
      </w:pPr>
      <w:r>
        <w:t xml:space="preserve">képes-e az Olvasó maga ennek a vizsgálatnak az elvégzésre módszertanilag (akár helyesli, akár akarja – vagy nem) az </w:t>
      </w:r>
      <w:proofErr w:type="spellStart"/>
      <w:r>
        <w:t>anti-diszkriminatív</w:t>
      </w:r>
      <w:proofErr w:type="spellEnd"/>
      <w:r>
        <w:t xml:space="preserve"> elvek érvényesülését?</w:t>
      </w:r>
    </w:p>
    <w:p w:rsidR="00486095" w:rsidRDefault="00BA07B4" w:rsidP="00486095">
      <w:pPr>
        <w:pStyle w:val="Cmsor1"/>
      </w:pPr>
      <w:r>
        <w:t>Egy</w:t>
      </w:r>
      <w:r w:rsidR="00486095">
        <w:t xml:space="preserve"> határozat potenciális szövege</w:t>
      </w:r>
    </w:p>
    <w:p w:rsidR="00486095" w:rsidRDefault="001C1676" w:rsidP="00BB69EE">
      <w:pPr>
        <w:jc w:val="both"/>
      </w:pPr>
      <w:r>
        <w:t xml:space="preserve">Az alábbi táblázat a </w:t>
      </w:r>
      <w:proofErr w:type="spellStart"/>
      <w:r>
        <w:t>szómágikus</w:t>
      </w:r>
      <w:proofErr w:type="spellEnd"/>
      <w:r>
        <w:t xml:space="preserve"> eszközökkel operáló jog-gyakorlat helyett a paraméter-orientált, strukturált gondolkodásmódot támogató, a </w:t>
      </w:r>
      <w:proofErr w:type="spellStart"/>
      <w:r>
        <w:t>robotizálhatóságot</w:t>
      </w:r>
      <w:proofErr w:type="spellEnd"/>
      <w:r>
        <w:t xml:space="preserve"> elősegítő formában kerül prezentálásra:</w:t>
      </w:r>
    </w:p>
    <w:tbl>
      <w:tblPr>
        <w:tblStyle w:val="Rcsostblzat"/>
        <w:tblW w:w="0" w:type="auto"/>
        <w:tblLook w:val="04A0" w:firstRow="1" w:lastRow="0" w:firstColumn="1" w:lastColumn="0" w:noHBand="0" w:noVBand="1"/>
      </w:tblPr>
      <w:tblGrid>
        <w:gridCol w:w="2182"/>
        <w:gridCol w:w="2135"/>
        <w:gridCol w:w="4745"/>
      </w:tblGrid>
      <w:tr w:rsidR="001C1676" w:rsidRPr="001C1676" w:rsidTr="006C111B">
        <w:tc>
          <w:tcPr>
            <w:tcW w:w="1838" w:type="dxa"/>
          </w:tcPr>
          <w:p w:rsidR="001C1676" w:rsidRPr="001C1676" w:rsidRDefault="001C1676" w:rsidP="00897F64">
            <w:pPr>
              <w:jc w:val="both"/>
            </w:pPr>
            <w:r w:rsidRPr="001C1676">
              <w:t>Jelenség</w:t>
            </w:r>
          </w:p>
        </w:tc>
        <w:tc>
          <w:tcPr>
            <w:tcW w:w="1843" w:type="dxa"/>
          </w:tcPr>
          <w:p w:rsidR="001C1676" w:rsidRPr="001C1676" w:rsidRDefault="001C1676" w:rsidP="00897F64">
            <w:pPr>
              <w:jc w:val="both"/>
            </w:pPr>
            <w:r w:rsidRPr="001C1676">
              <w:t>Paraméterérték</w:t>
            </w:r>
          </w:p>
        </w:tc>
        <w:tc>
          <w:tcPr>
            <w:tcW w:w="5381" w:type="dxa"/>
          </w:tcPr>
          <w:p w:rsidR="001C1676" w:rsidRPr="001C1676" w:rsidRDefault="001C1676" w:rsidP="00897F64">
            <w:pPr>
              <w:jc w:val="both"/>
            </w:pPr>
            <w:r>
              <w:t>Kommentárok</w:t>
            </w:r>
          </w:p>
        </w:tc>
      </w:tr>
      <w:tr w:rsidR="001C1676" w:rsidRPr="001C1676" w:rsidTr="006C111B">
        <w:tc>
          <w:tcPr>
            <w:tcW w:w="1838" w:type="dxa"/>
          </w:tcPr>
          <w:p w:rsidR="001C1676" w:rsidRPr="001C1676" w:rsidRDefault="001C1676" w:rsidP="00897F64">
            <w:pPr>
              <w:jc w:val="both"/>
            </w:pPr>
            <w:r>
              <w:t>Előléptetési javaslat előterjesztője</w:t>
            </w:r>
            <w:r w:rsidR="003A6D00">
              <w:t xml:space="preserve"> =</w:t>
            </w:r>
          </w:p>
        </w:tc>
        <w:tc>
          <w:tcPr>
            <w:tcW w:w="1843" w:type="dxa"/>
          </w:tcPr>
          <w:p w:rsidR="001C1676" w:rsidRPr="001C1676" w:rsidRDefault="003A6D00" w:rsidP="00897F64">
            <w:pPr>
              <w:jc w:val="both"/>
            </w:pPr>
            <w:r>
              <w:t xml:space="preserve">= </w:t>
            </w:r>
            <w:r w:rsidR="001C1676">
              <w:t>intézetigazgató</w:t>
            </w:r>
          </w:p>
        </w:tc>
        <w:tc>
          <w:tcPr>
            <w:tcW w:w="5381" w:type="dxa"/>
          </w:tcPr>
          <w:p w:rsidR="001C1676" w:rsidRPr="001C1676" w:rsidRDefault="001C1676" w:rsidP="00897F64">
            <w:pPr>
              <w:jc w:val="both"/>
            </w:pPr>
            <w:r>
              <w:t>Vajon ki és mikor ellenőrizte</w:t>
            </w:r>
            <w:r w:rsidR="006C111B">
              <w:t>/ellenőrzi</w:t>
            </w:r>
            <w:r>
              <w:t>, hogy minden diszciplína esetén adott</w:t>
            </w:r>
            <w:r w:rsidR="003A6D00">
              <w:t>ak</w:t>
            </w:r>
            <w:r>
              <w:t>-e az intézetigazgatók több-dimenziós értékelés</w:t>
            </w:r>
            <w:r w:rsidR="006C111B">
              <w:t xml:space="preserve">sel, </w:t>
            </w:r>
            <w:proofErr w:type="spellStart"/>
            <w:r w:rsidR="006C111B">
              <w:t>tudománymetriával</w:t>
            </w:r>
            <w:proofErr w:type="spellEnd"/>
            <w:r w:rsidR="006C111B">
              <w:t>, statisztikával, stb. kapcsolatos – ezen előterjesztés előkészítéséhez szükséges kompetencia-szintje</w:t>
            </w:r>
            <w:r w:rsidR="003A6D00">
              <w:t>i</w:t>
            </w:r>
            <w:r w:rsidR="006C111B">
              <w:t>? (horgonypont: van olyan egyetem hazánk</w:t>
            </w:r>
            <w:r w:rsidR="00AF1CAA">
              <w:t xml:space="preserve">ban, mely arról sem tudott </w:t>
            </w:r>
            <w:r w:rsidR="006C111B">
              <w:t>az egyetemi jogorvoslati rendszer többszörös felszólítása után sem érvényes döntésre jutni</w:t>
            </w:r>
            <w:r w:rsidR="00AF1CAA">
              <w:t xml:space="preserve"> </w:t>
            </w:r>
            <w:r w:rsidR="00AF1CAA">
              <w:lastRenderedPageBreak/>
              <w:t>testületileg</w:t>
            </w:r>
            <w:r w:rsidR="006C111B">
              <w:t xml:space="preserve">, kinek jár egy adott ösztöndíj: </w:t>
            </w:r>
            <w:r w:rsidR="004711F1" w:rsidRPr="004711F1">
              <w:t>1641/1/2016</w:t>
            </w:r>
            <w:r w:rsidR="006C111B">
              <w:t>)</w:t>
            </w:r>
          </w:p>
        </w:tc>
      </w:tr>
      <w:tr w:rsidR="00AF1CAA" w:rsidRPr="001C1676" w:rsidTr="006C111B">
        <w:tc>
          <w:tcPr>
            <w:tcW w:w="1838" w:type="dxa"/>
          </w:tcPr>
          <w:p w:rsidR="00AF1CAA" w:rsidRDefault="003A6D00" w:rsidP="00897F64">
            <w:pPr>
              <w:jc w:val="both"/>
            </w:pPr>
            <w:r>
              <w:lastRenderedPageBreak/>
              <w:t xml:space="preserve">Az előterjesztés kötelező tartalmi eleme </w:t>
            </w:r>
            <w:r w:rsidR="00EF4B64">
              <w:t xml:space="preserve">(1) </w:t>
            </w:r>
            <w:r>
              <w:t>=</w:t>
            </w:r>
          </w:p>
        </w:tc>
        <w:tc>
          <w:tcPr>
            <w:tcW w:w="1843" w:type="dxa"/>
          </w:tcPr>
          <w:p w:rsidR="00AF1CAA" w:rsidRDefault="003A6D00" w:rsidP="00897F64">
            <w:pPr>
              <w:jc w:val="both"/>
            </w:pPr>
            <w:r>
              <w:t>= részletes indoklás</w:t>
            </w:r>
          </w:p>
        </w:tc>
        <w:tc>
          <w:tcPr>
            <w:tcW w:w="5381" w:type="dxa"/>
          </w:tcPr>
          <w:p w:rsidR="00AF1CAA" w:rsidRDefault="003A6D00" w:rsidP="00897F64">
            <w:pPr>
              <w:jc w:val="both"/>
            </w:pPr>
            <w:r>
              <w:t>Miért kell részletes indoklás egy objektív értékelési rendszerben? Nem maga a rendszer léte, kimunkáltságának magas színvonala az indoklás? (Analógia: egy hőmérő sem kezdi el magyarázni a lázas állapotra utaló értéket…)</w:t>
            </w:r>
          </w:p>
        </w:tc>
      </w:tr>
      <w:tr w:rsidR="003A6D00" w:rsidRPr="001C1676" w:rsidTr="006C111B">
        <w:tc>
          <w:tcPr>
            <w:tcW w:w="1838" w:type="dxa"/>
          </w:tcPr>
          <w:p w:rsidR="003A6D00" w:rsidRDefault="00EF4B64" w:rsidP="00897F64">
            <w:pPr>
              <w:jc w:val="both"/>
            </w:pPr>
            <w:r>
              <w:t>Az előterjesztés kötelező tartalmi eleme (2) =</w:t>
            </w:r>
          </w:p>
        </w:tc>
        <w:tc>
          <w:tcPr>
            <w:tcW w:w="1843" w:type="dxa"/>
          </w:tcPr>
          <w:p w:rsidR="003A6D00" w:rsidRDefault="00EF4B64" w:rsidP="00897F64">
            <w:pPr>
              <w:jc w:val="both"/>
            </w:pPr>
            <w:r>
              <w:t>= adatok (vö. 2. sz. táblázat - alább)</w:t>
            </w:r>
          </w:p>
        </w:tc>
        <w:tc>
          <w:tcPr>
            <w:tcW w:w="5381" w:type="dxa"/>
          </w:tcPr>
          <w:p w:rsidR="003A6D00" w:rsidRDefault="00EF4B64" w:rsidP="00897F64">
            <w:pPr>
              <w:jc w:val="both"/>
            </w:pPr>
            <w:r>
              <w:t xml:space="preserve">Egy </w:t>
            </w:r>
            <w:proofErr w:type="spellStart"/>
            <w:r>
              <w:t>data-driven</w:t>
            </w:r>
            <w:proofErr w:type="spellEnd"/>
            <w:r>
              <w:t xml:space="preserve"> HR-policy </w:t>
            </w:r>
            <w:proofErr w:type="spellStart"/>
            <w:r>
              <w:t>making</w:t>
            </w:r>
            <w:proofErr w:type="spellEnd"/>
            <w:r>
              <w:t xml:space="preserve"> folyamat egyetlen racionális kötelezettsége, hiszen az adatok mérését tartalmazó módszertant előre kell rögzíteni, minden potenciális részletre tételesen és részletesen kiterjedően. Minden hiányosság a mérési módszertant illetően egy-egy szubjektivitási erőteret nyit meg, s egyetlen ilyen léte is értelmezhetetlenné teszi az objektivitásra való törekvést mindösszesen…</w:t>
            </w:r>
          </w:p>
        </w:tc>
      </w:tr>
      <w:tr w:rsidR="00EF4B64" w:rsidRPr="001C1676" w:rsidTr="006C111B">
        <w:tc>
          <w:tcPr>
            <w:tcW w:w="1838" w:type="dxa"/>
          </w:tcPr>
          <w:p w:rsidR="00EF4B64" w:rsidRDefault="003F5717" w:rsidP="00897F64">
            <w:pPr>
              <w:jc w:val="both"/>
            </w:pPr>
            <w:r>
              <w:t>Az előterjesztés kötelező tartalmi eleme (3) =</w:t>
            </w:r>
          </w:p>
        </w:tc>
        <w:tc>
          <w:tcPr>
            <w:tcW w:w="1843" w:type="dxa"/>
          </w:tcPr>
          <w:p w:rsidR="00EF4B64" w:rsidRDefault="003F5717" w:rsidP="00897F64">
            <w:pPr>
              <w:jc w:val="both"/>
            </w:pPr>
            <w:r>
              <w:t>= az adatokat alátámasztó dokumentációk</w:t>
            </w:r>
          </w:p>
        </w:tc>
        <w:tc>
          <w:tcPr>
            <w:tcW w:w="5381" w:type="dxa"/>
          </w:tcPr>
          <w:p w:rsidR="00EF4B64" w:rsidRDefault="003F5717" w:rsidP="003F5717">
            <w:pPr>
              <w:jc w:val="both"/>
            </w:pPr>
            <w:r>
              <w:t xml:space="preserve">Feltételezve, hogy egy robotnak kell az adatokat megállapítania, az itt elvárt dokumentációk azok a bizonylatok, tranzakciók, melyek minél inkább szabványosak, annál inkább csak egy formális </w:t>
            </w:r>
            <w:proofErr w:type="spellStart"/>
            <w:r>
              <w:t>EDI-jellegű</w:t>
            </w:r>
            <w:proofErr w:type="spellEnd"/>
            <w:r>
              <w:t xml:space="preserve"> adat-átvételről beszélünk. S minél kevésbé szabványosak, annál inkább mesterséges intelligencia-alapú hermeneutikai rendszerek fejlesztése a feladat a nyers dokumentumok objektív (=algoritmizált) értelmezését garantálandó.</w:t>
            </w:r>
          </w:p>
        </w:tc>
      </w:tr>
      <w:tr w:rsidR="00D05B91" w:rsidRPr="001C1676" w:rsidTr="006C111B">
        <w:tc>
          <w:tcPr>
            <w:tcW w:w="1838" w:type="dxa"/>
          </w:tcPr>
          <w:p w:rsidR="00D05B91" w:rsidRDefault="000F2496" w:rsidP="00897F64">
            <w:pPr>
              <w:jc w:val="both"/>
            </w:pPr>
            <w:r>
              <w:t>Az előterjesztés kötelező tartalmi eleme (4) =</w:t>
            </w:r>
          </w:p>
        </w:tc>
        <w:tc>
          <w:tcPr>
            <w:tcW w:w="1843" w:type="dxa"/>
          </w:tcPr>
          <w:p w:rsidR="00D05B91" w:rsidRDefault="000F2496" w:rsidP="00897F64">
            <w:pPr>
              <w:jc w:val="both"/>
            </w:pPr>
            <w:r>
              <w:t>= kutatói kataszter aktuális adatokkal feltöltve</w:t>
            </w:r>
          </w:p>
        </w:tc>
        <w:tc>
          <w:tcPr>
            <w:tcW w:w="5381" w:type="dxa"/>
          </w:tcPr>
          <w:p w:rsidR="00D05B91" w:rsidRDefault="000F2496" w:rsidP="000F2496">
            <w:pPr>
              <w:jc w:val="both"/>
            </w:pPr>
            <w:r>
              <w:t>Az előterjesztés tudományos előmenetelt érintő összes adata (s minden más adat is) vajon miért nem triviálisan a kutatói kataszter része? (vö. következő táblázati sor Nr.5.)</w:t>
            </w:r>
          </w:p>
        </w:tc>
      </w:tr>
      <w:tr w:rsidR="000F2496" w:rsidRPr="001C1676" w:rsidTr="006C111B">
        <w:tc>
          <w:tcPr>
            <w:tcW w:w="1838" w:type="dxa"/>
          </w:tcPr>
          <w:p w:rsidR="000F2496" w:rsidRDefault="000F2496" w:rsidP="00897F64">
            <w:pPr>
              <w:jc w:val="both"/>
            </w:pPr>
            <w:r>
              <w:t>Az előterjesztés kötelező tartalmi eleme (5) =</w:t>
            </w:r>
          </w:p>
        </w:tc>
        <w:tc>
          <w:tcPr>
            <w:tcW w:w="1843" w:type="dxa"/>
          </w:tcPr>
          <w:p w:rsidR="000F2496" w:rsidRDefault="000F2496" w:rsidP="00897F64">
            <w:pPr>
              <w:jc w:val="both"/>
            </w:pPr>
            <w:r>
              <w:t>= az előterjesztést megelőző két szemeszter terhelésvizsgálatának adatai</w:t>
            </w:r>
          </w:p>
        </w:tc>
        <w:tc>
          <w:tcPr>
            <w:tcW w:w="5381" w:type="dxa"/>
          </w:tcPr>
          <w:p w:rsidR="00381E10" w:rsidRDefault="000F2496" w:rsidP="003F5717">
            <w:pPr>
              <w:jc w:val="both"/>
            </w:pPr>
            <w:r>
              <w:t xml:space="preserve">Ha minden, az előterjesztéssel érintett objektum (kutató, oktató) minden adata egységes logikai keretben lenne, akkor az előterjeszthetőség feltételeinek ellenőrzése, mint alapfunkció minden egyes, az adott objektumra vonatkozó </w:t>
            </w:r>
            <w:proofErr w:type="gramStart"/>
            <w:r>
              <w:t>új adat</w:t>
            </w:r>
            <w:proofErr w:type="gramEnd"/>
            <w:r>
              <w:t xml:space="preserve"> megjelenése esetén automatikusan lefuthatna.</w:t>
            </w:r>
            <w:r w:rsidR="00381E10">
              <w:t xml:space="preserve"> </w:t>
            </w:r>
          </w:p>
          <w:p w:rsidR="000F2496" w:rsidRDefault="00381E10" w:rsidP="003F5717">
            <w:pPr>
              <w:jc w:val="both"/>
            </w:pPr>
            <w:r>
              <w:t>Ezáltal</w:t>
            </w:r>
            <w:r w:rsidR="000F2496">
              <w:t xml:space="preserve"> a személyügyi terv új értelmet nyerne, amennyiben a munkaköri leírással, az időszakos </w:t>
            </w:r>
            <w:proofErr w:type="spellStart"/>
            <w:r w:rsidR="000F2496">
              <w:t>KFI-tervekkel</w:t>
            </w:r>
            <w:proofErr w:type="spellEnd"/>
            <w:r w:rsidR="000F2496">
              <w:t xml:space="preserve"> (</w:t>
            </w:r>
            <w:proofErr w:type="spellStart"/>
            <w:r w:rsidR="000F2496">
              <w:t>inkl</w:t>
            </w:r>
            <w:proofErr w:type="spellEnd"/>
            <w:r w:rsidR="000F2496">
              <w:t>. publikác</w:t>
            </w:r>
            <w:r>
              <w:t>iós aktivitások tervei)</w:t>
            </w:r>
            <w:r w:rsidR="000F2496">
              <w:t xml:space="preserve">, </w:t>
            </w:r>
          </w:p>
          <w:p w:rsidR="000F2496" w:rsidRDefault="000F2496" w:rsidP="003F5717">
            <w:pPr>
              <w:jc w:val="both"/>
            </w:pPr>
            <w:proofErr w:type="gramStart"/>
            <w:r>
              <w:t xml:space="preserve">sőt az oktatási tevékenység stratégiai terveivel (vö. akkreditáció: ki is illene, hogy tárgyfelelős legyen egy közpénzt felhasználó rendszerben, melynek célja a minőség garantálása </w:t>
            </w:r>
            <w:r w:rsidR="00381E10">
              <w:t xml:space="preserve">minden tekintetben </w:t>
            </w:r>
            <w:r>
              <w:t xml:space="preserve">a felsőoktatási szervezetek küldetésnyilatkozatai alapján: vö. pl. SZIE = </w:t>
            </w:r>
            <w:hyperlink r:id="rId20" w:history="1">
              <w:r w:rsidRPr="004A7D69">
                <w:rPr>
                  <w:rStyle w:val="Hiperhivatkozs"/>
                </w:rPr>
                <w:t>https://szie.hu/kueldetesnyilatkozat</w:t>
              </w:r>
            </w:hyperlink>
            <w:r>
              <w:t xml:space="preserve"> </w:t>
            </w:r>
            <w:r w:rsidR="00381E10">
              <w:t xml:space="preserve">- </w:t>
            </w:r>
            <w:r>
              <w:t>„</w:t>
            </w:r>
            <w:r w:rsidRPr="000F2496">
              <w:t xml:space="preserve">Az Egyetem – szerteágazó tevékenységének magas színvonalú megvalósítása érdekében – minőségügyi szervezetet működtet, amely az általa kidolgozott és folyamatosan továbbfejlesztett minőségbiztosítási rendszerének érvényesítésével </w:t>
            </w:r>
            <w:r w:rsidRPr="000F2496">
              <w:lastRenderedPageBreak/>
              <w:t>biztosítja</w:t>
            </w:r>
            <w:proofErr w:type="gramEnd"/>
            <w:r w:rsidRPr="000F2496">
              <w:t xml:space="preserve"> a minőségelvű feladat végrehajtás minden meghatározó feltételét.</w:t>
            </w:r>
            <w:r>
              <w:t>”</w:t>
            </w:r>
            <w:r w:rsidR="00381E10">
              <w:t xml:space="preserve">) úgy szembesülne a dolgozó, hogy minden pillanatban pontosan látná, milyen tételes elvárásoknak kell még megfelelnie – akár időbeli bontásban is - a következő fokozat eléréséhez. </w:t>
            </w:r>
            <w:r>
              <w:t>(További részletkérdések a 2. sz. táblázat megfelelő pontjainál</w:t>
            </w:r>
            <w:r w:rsidR="00381E10">
              <w:t>: pl. ekvivalenciák szabályozása</w:t>
            </w:r>
            <w:r>
              <w:t>)</w:t>
            </w:r>
          </w:p>
          <w:p w:rsidR="008E718A" w:rsidRDefault="008E718A" w:rsidP="003F5717">
            <w:pPr>
              <w:jc w:val="both"/>
            </w:pPr>
            <w:proofErr w:type="gramStart"/>
            <w:r>
              <w:t>Ha az összes egyedi adat</w:t>
            </w:r>
            <w:r w:rsidR="00381E10">
              <w:t xml:space="preserve"> egy rendszerben lenne, akkor az előterjesztés időpontját nem kellene külön paraméterrel szabályozni: a döntéshozó minden reggel, amikor valaki az utolsó adatfrissítése alapján előterjesztésre érdemes státuszt ér el, láthatná a </w:t>
            </w:r>
            <w:proofErr w:type="spellStart"/>
            <w:r w:rsidR="00381E10">
              <w:t>dashboard-ján</w:t>
            </w:r>
            <w:proofErr w:type="spellEnd"/>
            <w:r w:rsidR="00381E10">
              <w:t xml:space="preserve"> – sőt az előmenetel mértékét, dinamikáját, vagyis a tervezett eléréshez képesti lemaradást, előbbre tartást is… S ez nem </w:t>
            </w:r>
            <w:proofErr w:type="spellStart"/>
            <w:r w:rsidR="00381E10">
              <w:t>science</w:t>
            </w:r>
            <w:proofErr w:type="spellEnd"/>
            <w:r w:rsidR="00381E10">
              <w:t xml:space="preserve"> </w:t>
            </w:r>
            <w:proofErr w:type="spellStart"/>
            <w:r w:rsidR="00381E10">
              <w:t>fiction</w:t>
            </w:r>
            <w:proofErr w:type="spellEnd"/>
            <w:r w:rsidR="00381E10">
              <w:t>,, mert pl. a kapcsolódó tantárgyak ezt évek óta tanítják – s pl. az SAP, mint az adatvagyon-gazdálkodás feszes kerete ezt minden további nélkül elvileg lehetővé teszi…</w:t>
            </w:r>
            <w:proofErr w:type="gramEnd"/>
          </w:p>
        </w:tc>
      </w:tr>
      <w:tr w:rsidR="000F2496" w:rsidRPr="001C1676" w:rsidTr="006C111B">
        <w:tc>
          <w:tcPr>
            <w:tcW w:w="1838" w:type="dxa"/>
          </w:tcPr>
          <w:p w:rsidR="000F2496" w:rsidRDefault="00184EA9" w:rsidP="00897F64">
            <w:pPr>
              <w:jc w:val="both"/>
            </w:pPr>
            <w:r>
              <w:lastRenderedPageBreak/>
              <w:t xml:space="preserve">Adatminőségért felelős személy = </w:t>
            </w:r>
          </w:p>
        </w:tc>
        <w:tc>
          <w:tcPr>
            <w:tcW w:w="1843" w:type="dxa"/>
          </w:tcPr>
          <w:p w:rsidR="000F2496" w:rsidRDefault="00184EA9" w:rsidP="00897F64">
            <w:pPr>
              <w:jc w:val="both"/>
            </w:pPr>
            <w:r>
              <w:t>= intézetigazgató</w:t>
            </w:r>
          </w:p>
        </w:tc>
        <w:tc>
          <w:tcPr>
            <w:tcW w:w="5381" w:type="dxa"/>
          </w:tcPr>
          <w:p w:rsidR="000F2496" w:rsidRDefault="00184EA9" w:rsidP="003F5717">
            <w:pPr>
              <w:jc w:val="both"/>
            </w:pPr>
            <w:r>
              <w:t xml:space="preserve">Jelenleg az </w:t>
            </w:r>
            <w:proofErr w:type="spellStart"/>
            <w:r>
              <w:t>MTMT-s</w:t>
            </w:r>
            <w:proofErr w:type="spellEnd"/>
            <w:r>
              <w:t xml:space="preserve"> adatok „ellenőrzését” pl. a könyvtári szakértők végzik, </w:t>
            </w:r>
            <w:r w:rsidR="001A064A">
              <w:t>de az ő ellenőrzési mechanizmusu</w:t>
            </w:r>
            <w:r>
              <w:t>k pl. nem terjed ki arra, mit is kell tenni, ha plágiumok nyomaira bukkannak</w:t>
            </w:r>
            <w:proofErr w:type="gramStart"/>
            <w:r>
              <w:t>?!</w:t>
            </w:r>
            <w:proofErr w:type="gramEnd"/>
            <w:r>
              <w:t xml:space="preserve"> (horgonypont: </w:t>
            </w:r>
            <w:r w:rsidR="00E2206D">
              <w:t>2015/XI</w:t>
            </w:r>
            <w:r w:rsidR="001A064A">
              <w:t>I</w:t>
            </w:r>
            <w:r w:rsidR="00E2206D">
              <w:t>/16</w:t>
            </w:r>
            <w:r w:rsidR="00670573">
              <w:t>&amp;02</w:t>
            </w:r>
            <w:r w:rsidR="001A064A">
              <w:t>). Nem világos az sem, milyen fellebbezési utak léteznek, ha a könyvtáros tévedne</w:t>
            </w:r>
            <w:proofErr w:type="gramStart"/>
            <w:r w:rsidR="001A064A">
              <w:t>?!</w:t>
            </w:r>
            <w:proofErr w:type="gramEnd"/>
            <w:r w:rsidR="001A064A">
              <w:t xml:space="preserve"> Tehát az intézetigazgatók felelősséghárításának egyik fontos része a feladatok delegálása. Az intézetigazgató nem információbróker, azaz sem ideje, sem feltétlenül képzettsége nincs olyan szinten, mint pl. a könyvtárosoknak, tehát az intézetigazgatónak hinnie KELL az „alvállalkozóknak”. Minden adatforrás kapcsán ugyanez a helyzet, vagyis az intézetigazgatónak hinnie KELL a </w:t>
            </w:r>
            <w:proofErr w:type="spellStart"/>
            <w:r w:rsidR="001A064A">
              <w:t>neptunnak</w:t>
            </w:r>
            <w:proofErr w:type="spellEnd"/>
            <w:r w:rsidR="001A064A">
              <w:t>, a doktori iskolák nyilvántartásának, az OTDK nyilvántartásoknak, stb. Ha minden felelősség delegálásra KELL, hogy kerüljön, akkor az intézetigazgató lényegében miért is felel? Hiszen nem munkáltatója egyetlen adatforrásnak, minőségbiztosítónak sem, sőt elvileg nem is kell, hogy tudja, ezek pontosan milyen részletszabályok szerint működnek</w:t>
            </w:r>
            <w:proofErr w:type="gramStart"/>
            <w:r w:rsidR="001A064A">
              <w:t>?!</w:t>
            </w:r>
            <w:proofErr w:type="gramEnd"/>
          </w:p>
        </w:tc>
      </w:tr>
      <w:tr w:rsidR="001A064A" w:rsidRPr="001C1676" w:rsidTr="006C111B">
        <w:tc>
          <w:tcPr>
            <w:tcW w:w="1838" w:type="dxa"/>
          </w:tcPr>
          <w:p w:rsidR="001A064A" w:rsidRDefault="005F07B9" w:rsidP="00897F64">
            <w:pPr>
              <w:jc w:val="both"/>
            </w:pPr>
            <w:r>
              <w:t>Ekvivalencia szabály (1)</w:t>
            </w:r>
            <w:r w:rsidR="00DC7080">
              <w:t xml:space="preserve">, vagyis minden magyar és idegen nyelven egyszerre létező elvárás-kategória esetében = </w:t>
            </w:r>
          </w:p>
        </w:tc>
        <w:tc>
          <w:tcPr>
            <w:tcW w:w="1843" w:type="dxa"/>
          </w:tcPr>
          <w:p w:rsidR="001A064A" w:rsidRDefault="00DC7080" w:rsidP="00DC7080">
            <w:pPr>
              <w:jc w:val="both"/>
            </w:pPr>
            <w:r>
              <w:t>a magyar nyelvű elvárás 50%-a kiváltható azonos értékű idegen nyelvű objektummal</w:t>
            </w:r>
            <w:r w:rsidR="008F7419">
              <w:t xml:space="preserve"> – kivéve, ha a magyar elvárás = 1, ill. </w:t>
            </w:r>
            <w:r w:rsidR="008F7419">
              <w:lastRenderedPageBreak/>
              <w:t>semmilyen esetben a tudományos folyóiratok elvárásai kapcsán</w:t>
            </w:r>
          </w:p>
        </w:tc>
        <w:tc>
          <w:tcPr>
            <w:tcW w:w="5381" w:type="dxa"/>
          </w:tcPr>
          <w:p w:rsidR="001A064A" w:rsidRDefault="008F7419" w:rsidP="003F5717">
            <w:pPr>
              <w:jc w:val="both"/>
            </w:pPr>
            <w:r>
              <w:lastRenderedPageBreak/>
              <w:t>Ezt a szabályt az Olvasó érdemben majd csak az alábbi (2.) táblázat alapján tudja értelmezni.</w:t>
            </w:r>
            <w:r w:rsidR="005F07B9">
              <w:t xml:space="preserve"> Az önmagában kritikus, hogy további ekvivalencia szabály nincs. Ez felveti a közbeszerzések kapcsán aggályos túl-specifikálás analógiájának gyanúját.</w:t>
            </w:r>
          </w:p>
        </w:tc>
      </w:tr>
      <w:tr w:rsidR="005F07B9" w:rsidRPr="001C1676" w:rsidTr="006C111B">
        <w:tc>
          <w:tcPr>
            <w:tcW w:w="1838" w:type="dxa"/>
          </w:tcPr>
          <w:p w:rsidR="005F07B9" w:rsidRDefault="005F07B9" w:rsidP="005F07B9">
            <w:pPr>
              <w:jc w:val="both"/>
            </w:pPr>
            <w:r>
              <w:t xml:space="preserve">Ekvivalencia szabály (2), a teljesítményminimum </w:t>
            </w:r>
          </w:p>
        </w:tc>
        <w:tc>
          <w:tcPr>
            <w:tcW w:w="1843" w:type="dxa"/>
          </w:tcPr>
          <w:p w:rsidR="005F07B9" w:rsidRDefault="005F07B9" w:rsidP="00DC7080">
            <w:pPr>
              <w:jc w:val="both"/>
            </w:pPr>
            <w:r>
              <w:t>az utolsó két féléven átlagában min. 100%</w:t>
            </w:r>
          </w:p>
        </w:tc>
        <w:tc>
          <w:tcPr>
            <w:tcW w:w="5381" w:type="dxa"/>
          </w:tcPr>
          <w:p w:rsidR="005F07B9" w:rsidRDefault="005F07B9" w:rsidP="003F5717">
            <w:pPr>
              <w:jc w:val="both"/>
            </w:pPr>
            <w:r>
              <w:t>A két félév átlagában elvárt teljesítményszint egy fajta időbeli ekvivalencia, vagyis akár egy 0 és 200%-os teljesítmény is kiadhatja a minimális küszöbértéket. Ez a széles tolerancia vajon az 1. sz. ekvivalencia eleve korlátozott hatáskörére miért nem jellemző, vagy a félévek átlaga kapcsán miért nincs min. 50 %-os határ egy-egy félévre – a szabályozás egyenszilárdságát közelítendő?</w:t>
            </w:r>
          </w:p>
        </w:tc>
      </w:tr>
    </w:tbl>
    <w:p w:rsidR="001C1676" w:rsidRDefault="00EF4B64" w:rsidP="00EF4B64">
      <w:pPr>
        <w:pStyle w:val="Listaszerbekezds"/>
        <w:numPr>
          <w:ilvl w:val="0"/>
          <w:numId w:val="1"/>
        </w:numPr>
        <w:jc w:val="both"/>
      </w:pPr>
      <w:r>
        <w:t>sz. táblázat: Egy kari tanácsi határozat paraméterei és ezek kockázatai (forrás: saját ábrázolás)</w:t>
      </w:r>
    </w:p>
    <w:p w:rsidR="00BB69EE" w:rsidRDefault="0099514F" w:rsidP="00BB69EE">
      <w:pPr>
        <w:jc w:val="both"/>
      </w:pPr>
      <w:r>
        <w:t>A 2. számú táblázat tartalmazza a tételes elvárások attribútumait és ezek küszöbértékeit (fiktív számpélda keretében):</w:t>
      </w:r>
    </w:p>
    <w:p w:rsidR="0099514F" w:rsidRDefault="0099514F" w:rsidP="00BB69EE">
      <w:pPr>
        <w:jc w:val="both"/>
      </w:pPr>
      <w:r>
        <w:t>Az áttekinthetőség megőrzése érdekében a számpéldához nem a 2. számú táblázatba kerül soronként beillesztésre a kapcsolódó kommentárok sorozata, hanem minden egyes attribútum külön értelmezést kap az alábbiakban. De előtte ki kell térni arra, hogy több, mint kérdéses, vajon</w:t>
      </w:r>
    </w:p>
    <w:p w:rsidR="0099514F" w:rsidRDefault="0099514F" w:rsidP="0099514F">
      <w:pPr>
        <w:pStyle w:val="Listaszerbekezds"/>
        <w:numPr>
          <w:ilvl w:val="0"/>
          <w:numId w:val="2"/>
        </w:numPr>
        <w:jc w:val="both"/>
      </w:pPr>
      <w:r>
        <w:t>az egyes oszlopok (fokozatok: vö. egyetemi tanársegéd, egyetemi adjunktus, egyetemi docens, egyetemi tanár) elvárásai között mekkora és miért pont akkora a különbség? (önkényesség: karonként, intézményenként, országonként vö. az EU egységes szabályozási térre való törekvéseit)</w:t>
      </w:r>
    </w:p>
    <w:p w:rsidR="0099514F" w:rsidRDefault="0099514F" w:rsidP="0099514F">
      <w:pPr>
        <w:pStyle w:val="Listaszerbekezds"/>
        <w:numPr>
          <w:ilvl w:val="0"/>
          <w:numId w:val="2"/>
        </w:numPr>
        <w:jc w:val="both"/>
      </w:pPr>
      <w:r>
        <w:t xml:space="preserve">lehet-e racionális egy ilyen merev küszöbérték-rendszer diszciplína függetlenül és a minimális ekvivalencia-szabályok mellett - azt vélelmezve, hogy egyes szakterületek publikációs hagyományai és lehetőségei egymástól jelentősen eltérnek? (vö. esélyegyenlőség, </w:t>
      </w:r>
      <w:proofErr w:type="spellStart"/>
      <w:r>
        <w:t>diszkriminancia-mentesség</w:t>
      </w:r>
      <w:proofErr w:type="spellEnd"/>
      <w:r>
        <w:t>)</w:t>
      </w:r>
    </w:p>
    <w:p w:rsidR="0099514F" w:rsidRDefault="0099514F" w:rsidP="0099514F">
      <w:pPr>
        <w:pStyle w:val="Listaszerbekezds"/>
        <w:numPr>
          <w:ilvl w:val="0"/>
          <w:numId w:val="2"/>
        </w:numPr>
        <w:jc w:val="both"/>
      </w:pPr>
      <w:r>
        <w:t>az egyes attribútumok mennyib</w:t>
      </w:r>
      <w:r w:rsidR="006D2263">
        <w:t>en függenek az objektum (</w:t>
      </w:r>
      <w:r>
        <w:t xml:space="preserve">az érintett ember) akaratától: pl. </w:t>
      </w:r>
    </w:p>
    <w:p w:rsidR="0099514F" w:rsidRDefault="0099514F" w:rsidP="0099514F">
      <w:pPr>
        <w:pStyle w:val="Listaszerbekezds"/>
        <w:numPr>
          <w:ilvl w:val="1"/>
          <w:numId w:val="2"/>
        </w:numPr>
        <w:jc w:val="both"/>
      </w:pPr>
      <w:proofErr w:type="spellStart"/>
      <w:r>
        <w:t>citációk</w:t>
      </w:r>
      <w:proofErr w:type="spellEnd"/>
      <w:r>
        <w:t xml:space="preserve"> </w:t>
      </w:r>
      <w:r w:rsidR="00EA4106">
        <w:t xml:space="preserve">abszolút </w:t>
      </w:r>
      <w:r>
        <w:t xml:space="preserve">száma </w:t>
      </w:r>
      <w:r w:rsidR="00EA4106">
        <w:t>hogyan értelmezhető egy-</w:t>
      </w:r>
      <w:r>
        <w:t xml:space="preserve">egy olyan szakterületen, melyet </w:t>
      </w:r>
      <w:proofErr w:type="spellStart"/>
      <w:r w:rsidR="00EA4106">
        <w:t>rel</w:t>
      </w:r>
      <w:proofErr w:type="spellEnd"/>
      <w:proofErr w:type="gramStart"/>
      <w:r w:rsidR="00EA4106">
        <w:t>.,</w:t>
      </w:r>
      <w:proofErr w:type="gramEnd"/>
      <w:r w:rsidR="00EA4106">
        <w:t xml:space="preserve"> </w:t>
      </w:r>
      <w:r>
        <w:t xml:space="preserve">kevesen művelnek (vö. az adott szakterület összes </w:t>
      </w:r>
      <w:proofErr w:type="spellStart"/>
      <w:r>
        <w:t>citációjának</w:t>
      </w:r>
      <w:proofErr w:type="spellEnd"/>
      <w:r>
        <w:t xml:space="preserve"> arányában nem racionálisabb-e a teljesítmények értelmezése – persze jól tudva, hogy még adott személy </w:t>
      </w:r>
      <w:proofErr w:type="spellStart"/>
      <w:r>
        <w:t>citáció-mennyiségét</w:t>
      </w:r>
      <w:proofErr w:type="spellEnd"/>
      <w:r>
        <w:t xml:space="preserve"> feltárni sem egyszerű, nem hogy egy szakterületét teljességében – főleg, hogy a szakterülethez tartozásról ki és milyen alapon dönt)</w:t>
      </w:r>
      <w:r w:rsidR="00EA4106">
        <w:t>?</w:t>
      </w:r>
    </w:p>
    <w:p w:rsidR="0099514F" w:rsidRDefault="0099514F" w:rsidP="0099514F">
      <w:pPr>
        <w:pStyle w:val="Listaszerbekezds"/>
        <w:numPr>
          <w:ilvl w:val="1"/>
          <w:numId w:val="2"/>
        </w:numPr>
        <w:jc w:val="both"/>
      </w:pPr>
      <w:r>
        <w:t xml:space="preserve">milyen esélye van az újabb és a régebbi diszciplínáknak egymáshoz képest, vagyis pl. mit kell kezdeni az </w:t>
      </w:r>
      <w:proofErr w:type="spellStart"/>
      <w:r>
        <w:t>inter</w:t>
      </w:r>
      <w:r w:rsidR="00EA4106">
        <w:t>-</w:t>
      </w:r>
      <w:proofErr w:type="spellEnd"/>
      <w:r>
        <w:t>/transz</w:t>
      </w:r>
      <w:r w:rsidR="00EA4106">
        <w:t>-</w:t>
      </w:r>
      <w:r>
        <w:t>/multi-diszciplináris területek kutatóival (ha már ilyen kategóriák hivatalosan is vannak, pl. az állami pályázatértékelésre jelentkezők önbevallásához kiadott listán)?</w:t>
      </w:r>
    </w:p>
    <w:p w:rsidR="00EA4106" w:rsidRDefault="00247BD7" w:rsidP="0099514F">
      <w:pPr>
        <w:pStyle w:val="Listaszerbekezds"/>
        <w:numPr>
          <w:ilvl w:val="1"/>
          <w:numId w:val="2"/>
        </w:numPr>
        <w:jc w:val="both"/>
      </w:pPr>
      <w:r>
        <w:t>mit jelent a „HA-RELEVÁNS” szűkítés? Milyen objektivitási szint mellett és ki dönt erről? Az intézetigazgató?</w:t>
      </w:r>
    </w:p>
    <w:p w:rsidR="00873F81" w:rsidRDefault="00873F81" w:rsidP="0099514F">
      <w:pPr>
        <w:pStyle w:val="Listaszerbekezds"/>
        <w:numPr>
          <w:ilvl w:val="1"/>
          <w:numId w:val="2"/>
        </w:numPr>
        <w:jc w:val="both"/>
      </w:pPr>
      <w:r>
        <w:t>a tudáshiányon túl lehet-e megtagadni adott személytől a tantárgyindítás, a gyakorlatvezetés jogát?</w:t>
      </w:r>
    </w:p>
    <w:p w:rsidR="00873F81" w:rsidRDefault="00873F81" w:rsidP="0099514F">
      <w:pPr>
        <w:pStyle w:val="Listaszerbekezds"/>
        <w:numPr>
          <w:ilvl w:val="1"/>
          <w:numId w:val="2"/>
        </w:numPr>
        <w:jc w:val="both"/>
      </w:pPr>
      <w:r>
        <w:t>triviális-e, hogy mindenki törzstaggá válik megfelelő képességek esetén valamely doktori iskolában? (az egyes külső szervezetek általi minősítések, befogadások kapcsán előállhat-e a tyúk-tojás probléma bármikor a jövőben, ill. már esetleg adott-e a jelenben is: pl. egy egyetemi docens nem lehet törzstag, csak ha egyetemi tanárrá válik, de addig, amíg nem válik egyetemi tanárrá, nem lehet törzstag?)</w:t>
      </w:r>
      <w:r w:rsidR="008A2040">
        <w:t xml:space="preserve"> </w:t>
      </w:r>
    </w:p>
    <w:p w:rsidR="00873F81" w:rsidRDefault="008A2040" w:rsidP="0099514F">
      <w:pPr>
        <w:pStyle w:val="Listaszerbekezds"/>
        <w:numPr>
          <w:ilvl w:val="1"/>
          <w:numId w:val="2"/>
        </w:numPr>
        <w:jc w:val="both"/>
      </w:pPr>
      <w:r>
        <w:t>a (pl. habilitációs</w:t>
      </w:r>
      <w:r w:rsidR="00090521">
        <w:t>, szerkesztő</w:t>
      </w:r>
      <w:r w:rsidR="006D2263">
        <w:t>, szakmai, tudományos, stb.</w:t>
      </w:r>
      <w:r>
        <w:t>) bizottsági tagságok esetén az előző pont ismét csak érvényes: mindenki válhat-e bizottsági taggá (titkárrá)?</w:t>
      </w:r>
    </w:p>
    <w:p w:rsidR="008A2040" w:rsidRDefault="008A2040" w:rsidP="0099514F">
      <w:pPr>
        <w:pStyle w:val="Listaszerbekezds"/>
        <w:numPr>
          <w:ilvl w:val="1"/>
          <w:numId w:val="2"/>
        </w:numPr>
        <w:jc w:val="both"/>
      </w:pPr>
      <w:r>
        <w:lastRenderedPageBreak/>
        <w:t xml:space="preserve">ki alapíthat doktori iskolát? bizottságokat? szaklapokat? </w:t>
      </w:r>
    </w:p>
    <w:p w:rsidR="008A2040" w:rsidRDefault="008A2040" w:rsidP="0099514F">
      <w:pPr>
        <w:pStyle w:val="Listaszerbekezds"/>
        <w:numPr>
          <w:ilvl w:val="1"/>
          <w:numId w:val="2"/>
        </w:numPr>
        <w:jc w:val="both"/>
      </w:pPr>
      <w:r>
        <w:t>mit rontott el egy-egy PhD-témavezető, ha pl. a piac elcsábítja védés előtt kiváló doktoranduszát, vagy a doktorandusz egyszerűen feladja anyagi, családi, egészségi, stb. okokból a kitűzött célokat?</w:t>
      </w:r>
      <w:r w:rsidR="008A2B55">
        <w:t xml:space="preserve"> </w:t>
      </w:r>
    </w:p>
    <w:p w:rsidR="008A2040" w:rsidRDefault="008A2B55" w:rsidP="0099514F">
      <w:pPr>
        <w:pStyle w:val="Listaszerbekezds"/>
        <w:numPr>
          <w:ilvl w:val="1"/>
          <w:numId w:val="2"/>
        </w:numPr>
        <w:jc w:val="both"/>
      </w:pPr>
      <w:r>
        <w:t>az előző pont érvényes a TDK dolgozatírók esetében is, vagyis a konzulens azért is felelni látszik, hogy megfelelő személyiség jegyekkel rendelkezőkkel köt-e együttműködési megállapodást</w:t>
      </w:r>
      <w:proofErr w:type="gramStart"/>
      <w:r>
        <w:t>?!,</w:t>
      </w:r>
      <w:proofErr w:type="gramEnd"/>
      <w:r>
        <w:t xml:space="preserve"> ami társadalmi szinten, az erőforrás-allokáció optimalizálását tekintve akár még racionális is lehet…</w:t>
      </w:r>
    </w:p>
    <w:p w:rsidR="008A2B55" w:rsidRDefault="00090521" w:rsidP="0099514F">
      <w:pPr>
        <w:pStyle w:val="Listaszerbekezds"/>
        <w:numPr>
          <w:ilvl w:val="1"/>
          <w:numId w:val="2"/>
        </w:numPr>
        <w:jc w:val="both"/>
      </w:pPr>
      <w:r>
        <w:t xml:space="preserve">ha egy szakterületen </w:t>
      </w:r>
      <w:proofErr w:type="spellStart"/>
      <w:r>
        <w:t>rel</w:t>
      </w:r>
      <w:proofErr w:type="spellEnd"/>
      <w:r>
        <w:t xml:space="preserve">. sok szakértő van, akkor a PhD-opponensnek való felkérés mindenkinek ki jut-e adott abszolút értékben? </w:t>
      </w:r>
    </w:p>
    <w:p w:rsidR="00090521" w:rsidRDefault="00090521" w:rsidP="006D2263">
      <w:pPr>
        <w:pStyle w:val="Listaszerbekezds"/>
        <w:numPr>
          <w:ilvl w:val="1"/>
          <w:numId w:val="2"/>
        </w:numPr>
        <w:jc w:val="both"/>
      </w:pPr>
      <w:r>
        <w:t xml:space="preserve">lehet-e összefüggés a gondos opponensi munka és a </w:t>
      </w:r>
      <w:proofErr w:type="spellStart"/>
      <w:r>
        <w:t>máshová-nem-hívás</w:t>
      </w:r>
      <w:proofErr w:type="spellEnd"/>
      <w:r>
        <w:t xml:space="preserve"> jelensége között?</w:t>
      </w:r>
      <w:r w:rsidR="002479EA">
        <w:t xml:space="preserve"> (vö. furcsa képződmények a </w:t>
      </w:r>
      <w:proofErr w:type="spellStart"/>
      <w:r w:rsidR="002479EA">
        <w:t>citációs</w:t>
      </w:r>
      <w:proofErr w:type="spellEnd"/>
      <w:r w:rsidR="002479EA">
        <w:t xml:space="preserve"> kartellektől az összefonódó </w:t>
      </w:r>
      <w:proofErr w:type="spellStart"/>
      <w:r w:rsidR="002479EA">
        <w:t>kéz-kezet-mos</w:t>
      </w:r>
      <w:proofErr w:type="spellEnd"/>
      <w:r w:rsidR="002479EA">
        <w:t xml:space="preserve"> erőterekig)</w:t>
      </w:r>
    </w:p>
    <w:p w:rsidR="00440467" w:rsidRDefault="00440467" w:rsidP="006D2263">
      <w:pPr>
        <w:pStyle w:val="Listaszerbekezds"/>
        <w:numPr>
          <w:ilvl w:val="1"/>
          <w:numId w:val="2"/>
        </w:numPr>
        <w:jc w:val="both"/>
      </w:pPr>
      <w:r>
        <w:t xml:space="preserve">idegen nyelvek-e a programozási nyelvek a </w:t>
      </w:r>
      <w:proofErr w:type="spellStart"/>
      <w:r>
        <w:t>szómágikus</w:t>
      </w:r>
      <w:proofErr w:type="spellEnd"/>
      <w:r>
        <w:t xml:space="preserve"> természetes emberi nyelvek mellett?</w:t>
      </w:r>
    </w:p>
    <w:p w:rsidR="00440467" w:rsidRDefault="00440467" w:rsidP="006D2263">
      <w:pPr>
        <w:pStyle w:val="Listaszerbekezds"/>
        <w:numPr>
          <w:ilvl w:val="1"/>
          <w:numId w:val="2"/>
        </w:numPr>
        <w:jc w:val="both"/>
      </w:pPr>
      <w:r>
        <w:t>…</w:t>
      </w:r>
    </w:p>
    <w:p w:rsidR="0099514F" w:rsidRDefault="0099514F" w:rsidP="00BB69EE">
      <w:pPr>
        <w:jc w:val="both"/>
      </w:pPr>
      <w:r>
        <w:rPr>
          <w:noProof/>
          <w:lang w:val="en-US"/>
        </w:rPr>
        <w:lastRenderedPageBreak/>
        <w:drawing>
          <wp:inline distT="0" distB="0" distL="0" distR="0" wp14:anchorId="76F7121C" wp14:editId="18D59F50">
            <wp:extent cx="5760720" cy="592963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5929630"/>
                    </a:xfrm>
                    <a:prstGeom prst="rect">
                      <a:avLst/>
                    </a:prstGeom>
                  </pic:spPr>
                </pic:pic>
              </a:graphicData>
            </a:graphic>
          </wp:inline>
        </w:drawing>
      </w:r>
    </w:p>
    <w:p w:rsidR="0099514F" w:rsidRDefault="006D2263" w:rsidP="006D2263">
      <w:pPr>
        <w:pStyle w:val="Listaszerbekezds"/>
        <w:numPr>
          <w:ilvl w:val="0"/>
          <w:numId w:val="1"/>
        </w:numPr>
        <w:jc w:val="both"/>
      </w:pPr>
      <w:r>
        <w:t>sz. táblázat: Potenciális abszolút küszöbértékek az egyes fokozatok elérését lehetővé tevő előterjesztésekhez (forrás: fiktív adatok)</w:t>
      </w:r>
    </w:p>
    <w:p w:rsidR="00CB1685" w:rsidRDefault="00CB1685" w:rsidP="00CB1685">
      <w:pPr>
        <w:jc w:val="both"/>
      </w:pPr>
      <w:r>
        <w:t xml:space="preserve">S mi hiányzik még: pl. a lektorálások, a </w:t>
      </w:r>
      <w:proofErr w:type="spellStart"/>
      <w:r>
        <w:t>startup-alapítások</w:t>
      </w:r>
      <w:proofErr w:type="spellEnd"/>
      <w:r>
        <w:t>, a licence-értékesítések, stb. száma?</w:t>
      </w:r>
    </w:p>
    <w:p w:rsidR="006D2263" w:rsidRDefault="0035289A" w:rsidP="006D2263">
      <w:pPr>
        <w:jc w:val="both"/>
      </w:pPr>
      <w:r>
        <w:t xml:space="preserve">Tételes értelmezések egy </w:t>
      </w:r>
      <w:proofErr w:type="spellStart"/>
      <w:r>
        <w:t>robot-evaluátor</w:t>
      </w:r>
      <w:proofErr w:type="spellEnd"/>
      <w:r>
        <w:t xml:space="preserve"> szempontjából</w:t>
      </w:r>
      <w:r w:rsidR="001749AD">
        <w:t xml:space="preserve"> a szerző személyes példáját számszerűen felhasználva (vö. 3. táblázat)</w:t>
      </w:r>
      <w:r>
        <w:t>:</w:t>
      </w:r>
    </w:p>
    <w:p w:rsidR="0035289A" w:rsidRDefault="00897F64" w:rsidP="00897F64">
      <w:pPr>
        <w:pStyle w:val="Listaszerbekezds"/>
        <w:numPr>
          <w:ilvl w:val="0"/>
          <w:numId w:val="5"/>
        </w:numPr>
        <w:jc w:val="both"/>
      </w:pPr>
      <w:r>
        <w:t xml:space="preserve">A </w:t>
      </w:r>
      <w:proofErr w:type="gramStart"/>
      <w:r>
        <w:t>tudományos(</w:t>
      </w:r>
      <w:proofErr w:type="spellStart"/>
      <w:proofErr w:type="gramEnd"/>
      <w:r>
        <w:t>nak</w:t>
      </w:r>
      <w:proofErr w:type="spellEnd"/>
      <w:r>
        <w:t xml:space="preserve"> kanonizált) folyóiratcikkek kapcsán vélelmezhetően komoly jogi kérdés az ezen körbe sorolt és ide nem sorolt objektumok legitimitása (vö. további tudományos művek = 541 db). Itt mindenkor utalni kell a </w:t>
      </w:r>
      <w:proofErr w:type="spellStart"/>
      <w:r>
        <w:t>SINICSI-effektusra</w:t>
      </w:r>
      <w:proofErr w:type="spellEnd"/>
      <w:r>
        <w:t xml:space="preserve"> (vö. </w:t>
      </w:r>
      <w:hyperlink r:id="rId22" w:history="1">
        <w:r w:rsidRPr="004A7D69">
          <w:rPr>
            <w:rStyle w:val="Hiperhivatkozs"/>
          </w:rPr>
          <w:t>http://elteonline.hu/tudomany/2015/10/17/meg-csak-negyen-ertettek-meg-a-vilagon/</w:t>
        </w:r>
      </w:hyperlink>
      <w:r>
        <w:t>), mely a publikáció tartalmát és nem ennek formáját, kiadóját helyezi a figyelem középpontjába.</w:t>
      </w:r>
    </w:p>
    <w:p w:rsidR="00897F64" w:rsidRDefault="00897F64" w:rsidP="00897F64">
      <w:pPr>
        <w:pStyle w:val="Listaszerbekezds"/>
        <w:numPr>
          <w:ilvl w:val="0"/>
          <w:numId w:val="5"/>
        </w:numPr>
        <w:jc w:val="both"/>
      </w:pPr>
      <w:r>
        <w:t xml:space="preserve">A nemzetközi szakfolyóiratok kapcsán a konkrét személy minősítésekor elvileg meg kellene tudni adni a minősítéssel megbízott intézetigazgatónak, vajon mely folyóiratok azok, melyekre befogadó objektumként kellene tekintenie az adott személynek, például mi számít manapság </w:t>
      </w:r>
      <w:proofErr w:type="spellStart"/>
      <w:r>
        <w:lastRenderedPageBreak/>
        <w:t>inter</w:t>
      </w:r>
      <w:proofErr w:type="spellEnd"/>
      <w:r>
        <w:t>/transz/multi-diszciplináris szaklapnak, ha a vizsgált személy saját/egyedi/innovatív matematikai világát (vö. hasonlóságelemzés) szeretné bemutatni különféle területeken?</w:t>
      </w:r>
    </w:p>
    <w:p w:rsidR="00897F64" w:rsidRDefault="00897F64" w:rsidP="00897F64">
      <w:pPr>
        <w:pStyle w:val="Listaszerbekezds"/>
        <w:numPr>
          <w:ilvl w:val="0"/>
          <w:numId w:val="5"/>
        </w:numPr>
        <w:jc w:val="both"/>
      </w:pPr>
      <w:r>
        <w:t>Itt kell felvetni a mindenkori feltörekvő generációkat érintő tudomány-etikai kérdést is: a szabályozások mindenkor előremutatóak, soha nem visszamenőlegesek – ami jogi szempontból korrektnek is tűnik. S az is igaz, hogy az új generációk akkor járnak el helyesen, ha az elődök vállára állnak, más szavakkal pozitív értelemben a fejükre nőnek. Ha tehát egy már docens, ma nem lehetne az, akkor vajon mi a teendője a tudományos közösségnek? Vagy a helyzet ennél bonyolultabb – s itt kell átcsapni a</w:t>
      </w:r>
      <w:r w:rsidR="003C0F30">
        <w:t>z ekvivalenciákhoz:</w:t>
      </w:r>
    </w:p>
    <w:p w:rsidR="003C0F30" w:rsidRDefault="003C0F30" w:rsidP="00897F64">
      <w:pPr>
        <w:pStyle w:val="Listaszerbekezds"/>
        <w:numPr>
          <w:ilvl w:val="0"/>
          <w:numId w:val="5"/>
        </w:numPr>
        <w:jc w:val="both"/>
      </w:pPr>
      <w:r>
        <w:t xml:space="preserve">Vajon a szabályozó által publikált tudományos közlemények mindösszesen sor, csak egy önellenőrző összeg, vagy az ekvivalencia problémák első, masszív jelensége: </w:t>
      </w:r>
    </w:p>
    <w:p w:rsidR="003C0F30" w:rsidRDefault="003C0F30" w:rsidP="003C0F30">
      <w:pPr>
        <w:pStyle w:val="Listaszerbekezds"/>
        <w:numPr>
          <w:ilvl w:val="1"/>
          <w:numId w:val="5"/>
        </w:numPr>
        <w:jc w:val="both"/>
      </w:pPr>
      <w:r>
        <w:t>miért nincs olyan szabály, hogy a mindösszesen elvárt érték pl. 25-50%-os meghaladása a mindösszesen mögötti belső szerkezetre vonatkozó minden tételes előírás elvárása alól felmentést ad ott, ahol évtizedes életművekről van szó és a múltba nem lehet visszalépni időgép hiányában, már pedig a szabályozás mai, vagyis az érintettség jelentős időszakában nem volt mire reagálnia a minősítésre várónak…</w:t>
      </w:r>
    </w:p>
    <w:p w:rsidR="003C0F30" w:rsidRDefault="001304AD" w:rsidP="003C0F30">
      <w:pPr>
        <w:pStyle w:val="Listaszerbekezds"/>
        <w:numPr>
          <w:ilvl w:val="1"/>
          <w:numId w:val="5"/>
        </w:numPr>
        <w:jc w:val="both"/>
      </w:pPr>
      <w:r>
        <w:t>függetlenül a mindösszesen</w:t>
      </w:r>
      <w:r w:rsidR="006C00D8">
        <w:t xml:space="preserve"> ekvivalencia kérdéskörétől egyéb ekvivalencia kérdések is felmerülnek:</w:t>
      </w:r>
    </w:p>
    <w:p w:rsidR="006C00D8" w:rsidRDefault="006C00D8" w:rsidP="006C00D8">
      <w:pPr>
        <w:pStyle w:val="Listaszerbekezds"/>
        <w:numPr>
          <w:ilvl w:val="2"/>
          <w:numId w:val="5"/>
        </w:numPr>
        <w:jc w:val="both"/>
      </w:pPr>
      <w:r>
        <w:t>ha valaki nem írt könyvrészletet „csak” könyveket, akkor az könyvrészletté degradálható-e?</w:t>
      </w:r>
    </w:p>
    <w:p w:rsidR="008D2179" w:rsidRDefault="008D2179" w:rsidP="006C00D8">
      <w:pPr>
        <w:pStyle w:val="Listaszerbekezds"/>
        <w:numPr>
          <w:ilvl w:val="2"/>
          <w:numId w:val="5"/>
        </w:numPr>
        <w:jc w:val="both"/>
      </w:pPr>
      <w:r>
        <w:t>ha valaki nem akart élete során könyv-szerkesztővé válni, de az ekvivalenciák hiánya miatt erre kényszerül, akkor anélkül, hogy egy sort is írna, másokat kell meggyőzni arról, hogy higgyenek benne, ő majd jól megszerkeszti a szerzők műveit?</w:t>
      </w:r>
    </w:p>
    <w:p w:rsidR="006C00D8" w:rsidRDefault="006C00D8" w:rsidP="006C00D8">
      <w:pPr>
        <w:pStyle w:val="Listaszerbekezds"/>
        <w:numPr>
          <w:ilvl w:val="2"/>
          <w:numId w:val="5"/>
        </w:numPr>
        <w:jc w:val="both"/>
      </w:pPr>
      <w:r>
        <w:t>ha valaki</w:t>
      </w:r>
      <w:r w:rsidR="008D2179">
        <w:t xml:space="preserve"> számos cikket írt már magyarul, aminek értékét senki nem vitatja, akkor ezek lefordításával illik-e foglalkoznia, mint speciális menekülési útvonallal? (s ez a kérdés máris átvezet az utolsó előtti fejezethez – vagyis a szimulátor effektusok fejezetéhez, ahol arról lesz szó: milyen gondolatok fogalmazódhatnak meg az egyénekben és az összetartásban érdekeltté váló közösségekben ilyen szabályozásokhoz való alkalmazkodási kényszerek esetén?)</w:t>
      </w:r>
    </w:p>
    <w:p w:rsidR="003C0F30" w:rsidRDefault="003C0F30" w:rsidP="008D2179">
      <w:pPr>
        <w:pStyle w:val="Listaszerbekezds"/>
        <w:numPr>
          <w:ilvl w:val="0"/>
          <w:numId w:val="5"/>
        </w:numPr>
        <w:jc w:val="both"/>
      </w:pPr>
      <w:r>
        <w:t>Itt merül fel a</w:t>
      </w:r>
      <w:r w:rsidR="008D2179">
        <w:t>z a</w:t>
      </w:r>
      <w:r>
        <w:t xml:space="preserve"> kérdés</w:t>
      </w:r>
      <w:r w:rsidR="008D2179">
        <w:t xml:space="preserve"> is</w:t>
      </w:r>
      <w:r>
        <w:t>: Az alkotások vajon miért nem tudományosak? Miért tűnik olybá, hogy aki ír egy matematikai világról, az jobban jár, mint aki ezt megvalósítja egy online ingyenes szolgáltatás formájában? S ha az alkotás egy komplex alkotás, akkor egy szolgáltatás csomag matematikailag releváns minden modulja egy új alkotás? S a modulok verziói egyenként is azok, ha ezeken a szerző/alkotó érdemi újításokat foganatosít (bármi legyen is az érdemi változás jelentése)?</w:t>
      </w:r>
    </w:p>
    <w:p w:rsidR="001749AD" w:rsidRDefault="001749AD" w:rsidP="001749AD">
      <w:pPr>
        <w:jc w:val="both"/>
      </w:pPr>
      <w:r>
        <w:rPr>
          <w:noProof/>
          <w:lang w:val="en-US"/>
        </w:rPr>
        <w:lastRenderedPageBreak/>
        <w:drawing>
          <wp:inline distT="0" distB="0" distL="0" distR="0" wp14:anchorId="6F92E2BC" wp14:editId="53BF5550">
            <wp:extent cx="5760720" cy="747014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7470140"/>
                    </a:xfrm>
                    <a:prstGeom prst="rect">
                      <a:avLst/>
                    </a:prstGeom>
                  </pic:spPr>
                </pic:pic>
              </a:graphicData>
            </a:graphic>
          </wp:inline>
        </w:drawing>
      </w:r>
    </w:p>
    <w:p w:rsidR="001749AD" w:rsidRDefault="001749AD" w:rsidP="001749AD">
      <w:pPr>
        <w:pStyle w:val="Listaszerbekezds"/>
        <w:numPr>
          <w:ilvl w:val="0"/>
          <w:numId w:val="1"/>
        </w:numPr>
        <w:jc w:val="both"/>
      </w:pPr>
      <w:r>
        <w:t xml:space="preserve">táblázat: Egy konkrét (szerzői) </w:t>
      </w:r>
      <w:proofErr w:type="spellStart"/>
      <w:r>
        <w:t>MTMT-profil</w:t>
      </w:r>
      <w:proofErr w:type="spellEnd"/>
      <w:r>
        <w:t xml:space="preserve"> és a fiktív küszöbértékek viszonyai (forrás: saját ábrázolás)</w:t>
      </w:r>
    </w:p>
    <w:p w:rsidR="00E05A2B" w:rsidRDefault="00E05A2B" w:rsidP="00CB1685">
      <w:pPr>
        <w:jc w:val="both"/>
      </w:pPr>
    </w:p>
    <w:p w:rsidR="00E05A2B" w:rsidRDefault="00E05A2B">
      <w:r>
        <w:br w:type="page"/>
      </w:r>
    </w:p>
    <w:p w:rsidR="00B903F2" w:rsidRDefault="00B903F2">
      <w:r>
        <w:lastRenderedPageBreak/>
        <w:t xml:space="preserve">Az önbevallás folytatása a nem </w:t>
      </w:r>
      <w:proofErr w:type="spellStart"/>
      <w:r>
        <w:t>MTMT-s</w:t>
      </w:r>
      <w:proofErr w:type="spellEnd"/>
      <w:r>
        <w:t xml:space="preserve"> rétegekre vonatkozóan:</w:t>
      </w:r>
    </w:p>
    <w:p w:rsidR="00CB1685" w:rsidRDefault="00E05A2B" w:rsidP="00CB1685">
      <w:pPr>
        <w:jc w:val="both"/>
      </w:pPr>
      <w:r>
        <w:rPr>
          <w:noProof/>
          <w:lang w:val="en-US"/>
        </w:rPr>
        <w:drawing>
          <wp:inline distT="0" distB="0" distL="0" distR="0" wp14:anchorId="30B4F1D9" wp14:editId="0F6B90B1">
            <wp:extent cx="5760720" cy="26162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616200"/>
                    </a:xfrm>
                    <a:prstGeom prst="rect">
                      <a:avLst/>
                    </a:prstGeom>
                  </pic:spPr>
                </pic:pic>
              </a:graphicData>
            </a:graphic>
          </wp:inline>
        </w:drawing>
      </w:r>
    </w:p>
    <w:p w:rsidR="006C00D8" w:rsidRDefault="006C00D8" w:rsidP="00CD7D6D">
      <w:pPr>
        <w:pStyle w:val="Cmsor1"/>
      </w:pPr>
      <w:r>
        <w:t>Szimulációs effektusok</w:t>
      </w:r>
    </w:p>
    <w:p w:rsidR="00795A99" w:rsidRDefault="00795A99" w:rsidP="00795A99">
      <w:pPr>
        <w:jc w:val="both"/>
      </w:pPr>
      <w:r>
        <w:t xml:space="preserve">A tudás fellegváraiban a komplex rendszerekkel való foglalatoskodás triviális napi tevékenység. Így magukra a kutatókra ható komplex rendszerek vizsgálata is triviális kell, hogy legyen. Tehát egy minősítendő személy ebben az inspiratív közegben magától értetődően gondolja végig általában véve és/vagy személy szerint </w:t>
      </w:r>
    </w:p>
    <w:p w:rsidR="00795A99" w:rsidRDefault="00795A99" w:rsidP="00795A99">
      <w:pPr>
        <w:pStyle w:val="Listaszerbekezds"/>
        <w:numPr>
          <w:ilvl w:val="0"/>
          <w:numId w:val="7"/>
        </w:numPr>
        <w:jc w:val="both"/>
      </w:pPr>
      <w:r>
        <w:t>milyen mozgásterei vannak,</w:t>
      </w:r>
    </w:p>
    <w:p w:rsidR="00795A99" w:rsidRDefault="00795A99" w:rsidP="00795A99">
      <w:pPr>
        <w:pStyle w:val="Listaszerbekezds"/>
        <w:numPr>
          <w:ilvl w:val="0"/>
          <w:numId w:val="7"/>
        </w:numPr>
        <w:jc w:val="both"/>
      </w:pPr>
      <w:r>
        <w:t xml:space="preserve">milyen erőterekben kell gondolkodnia, </w:t>
      </w:r>
    </w:p>
    <w:p w:rsidR="006C00D8" w:rsidRDefault="00795A99" w:rsidP="00795A99">
      <w:pPr>
        <w:pStyle w:val="Listaszerbekezds"/>
        <w:numPr>
          <w:ilvl w:val="0"/>
          <w:numId w:val="7"/>
        </w:numPr>
        <w:jc w:val="both"/>
      </w:pPr>
      <w:r>
        <w:t>milyen erőforrás-lekötésnek mi a hozadéka (itt és most egy adott szabályrendszerhez való adaptáció szempontjából)?</w:t>
      </w:r>
    </w:p>
    <w:p w:rsidR="00795A99" w:rsidRDefault="00795A99" w:rsidP="00795A99">
      <w:pPr>
        <w:jc w:val="both"/>
      </w:pPr>
      <w:r>
        <w:t xml:space="preserve">Az alábbi, közel sem teljes lista </w:t>
      </w:r>
      <w:proofErr w:type="gramStart"/>
      <w:r>
        <w:t>ezen</w:t>
      </w:r>
      <w:proofErr w:type="gramEnd"/>
      <w:r>
        <w:t xml:space="preserve"> kérdésekre adható válaszokat sorolja fel:</w:t>
      </w:r>
    </w:p>
    <w:p w:rsidR="00795A99" w:rsidRDefault="00795A99" w:rsidP="00795A99">
      <w:pPr>
        <w:pStyle w:val="Listaszerbekezds"/>
        <w:numPr>
          <w:ilvl w:val="0"/>
          <w:numId w:val="8"/>
        </w:numPr>
        <w:jc w:val="both"/>
      </w:pPr>
      <w:r>
        <w:t xml:space="preserve">Hogyan lehet a </w:t>
      </w:r>
      <w:proofErr w:type="spellStart"/>
      <w:r>
        <w:t>citációk</w:t>
      </w:r>
      <w:proofErr w:type="spellEnd"/>
      <w:r w:rsidR="00CB1685">
        <w:t>, a szerkesztői pozíciók, a publikációk, stb.</w:t>
      </w:r>
      <w:r>
        <w:t xml:space="preserve"> számát akaratlagosan növelni: </w:t>
      </w:r>
    </w:p>
    <w:p w:rsidR="00795A99" w:rsidRDefault="00CB1685" w:rsidP="00795A99">
      <w:pPr>
        <w:pStyle w:val="Listaszerbekezds"/>
        <w:numPr>
          <w:ilvl w:val="1"/>
          <w:numId w:val="8"/>
        </w:numPr>
        <w:jc w:val="both"/>
      </w:pPr>
      <w:r>
        <w:t>például ezt a cikket meg kell küldeni az adott intézmény minden érintettjének és javaslatot kell tenni arra, hogy szervezzünk egy konferenciát „Minősítés a felsőoktatásban” címmel, amire persze bárki kívülről is jelentkezhet</w:t>
      </w:r>
    </w:p>
    <w:p w:rsidR="00CB1685" w:rsidRDefault="00CB1685" w:rsidP="00795A99">
      <w:pPr>
        <w:pStyle w:val="Listaszerbekezds"/>
        <w:numPr>
          <w:ilvl w:val="1"/>
          <w:numId w:val="8"/>
        </w:numPr>
        <w:jc w:val="both"/>
      </w:pPr>
      <w:r>
        <w:t xml:space="preserve">a konferenciakötetbe </w:t>
      </w:r>
      <w:proofErr w:type="spellStart"/>
      <w:r>
        <w:t>quasi</w:t>
      </w:r>
      <w:proofErr w:type="spellEnd"/>
      <w:r>
        <w:t xml:space="preserve"> mindenki bekerülhet, aki megüti a „konferenciázás” közismert színvonalát</w:t>
      </w:r>
    </w:p>
    <w:p w:rsidR="00CB1685" w:rsidRDefault="00CB1685" w:rsidP="00795A99">
      <w:pPr>
        <w:pStyle w:val="Listaszerbekezds"/>
        <w:numPr>
          <w:ilvl w:val="1"/>
          <w:numId w:val="8"/>
        </w:numPr>
        <w:jc w:val="both"/>
      </w:pPr>
      <w:r>
        <w:t>de a legjobb dokumentumokról lehet azonnal könyvet is kiadni, aminek lesz egy, sőt mindjárt több szerkesztője</w:t>
      </w:r>
    </w:p>
    <w:p w:rsidR="00CB1685" w:rsidRDefault="00CB1685" w:rsidP="00795A99">
      <w:pPr>
        <w:pStyle w:val="Listaszerbekezds"/>
        <w:numPr>
          <w:ilvl w:val="1"/>
          <w:numId w:val="8"/>
        </w:numPr>
        <w:jc w:val="both"/>
      </w:pPr>
      <w:r>
        <w:t>aki publikál, annak lehet egy művel egy konferencia-kötetre vonatkozó növekménye és a könyvfejezet növekménye</w:t>
      </w:r>
    </w:p>
    <w:p w:rsidR="00CF2A7F" w:rsidRDefault="00CF2A7F" w:rsidP="00795A99">
      <w:pPr>
        <w:pStyle w:val="Listaszerbekezds"/>
        <w:numPr>
          <w:ilvl w:val="1"/>
          <w:numId w:val="8"/>
        </w:numPr>
        <w:jc w:val="both"/>
      </w:pPr>
      <w:proofErr w:type="gramStart"/>
      <w:r>
        <w:t>minden szerző szigorúan önként rájön arra, hogy minden másik szerző gondolataival illene picit foglalkoznia ebben a kötetben (és a könyvben is kényszerűen, lévén karakterre azonos is lehet egy-egy könyvrészlet a konferencia-kötet egy-egy részletével) – vagyis 10 fő esetén azonnal 9 másik társ idéz a műből rögtön két eltérő objektumban (vö. ISSN, ISBN), ami már a Hirsch-index magas szintjét teszi lehetővé, feltételezve, hogy ezen apró együttműködési kihívást a 10 fő 9 további témakörben is végrehajtja amilyen gyorsan csak lehet</w:t>
      </w:r>
      <w:proofErr w:type="gramEnd"/>
    </w:p>
    <w:p w:rsidR="00CF2A7F" w:rsidRDefault="00CF2A7F" w:rsidP="00795A99">
      <w:pPr>
        <w:pStyle w:val="Listaszerbekezds"/>
        <w:numPr>
          <w:ilvl w:val="1"/>
          <w:numId w:val="8"/>
        </w:numPr>
        <w:jc w:val="both"/>
      </w:pPr>
      <w:r>
        <w:t>…</w:t>
      </w:r>
    </w:p>
    <w:p w:rsidR="00795A99" w:rsidRDefault="00CF2A7F" w:rsidP="00795A99">
      <w:pPr>
        <w:pStyle w:val="Listaszerbekezds"/>
        <w:numPr>
          <w:ilvl w:val="0"/>
          <w:numId w:val="8"/>
        </w:numPr>
        <w:jc w:val="both"/>
      </w:pPr>
      <w:r>
        <w:lastRenderedPageBreak/>
        <w:t xml:space="preserve">Hogyan lehet </w:t>
      </w:r>
      <w:r w:rsidR="00935DF4">
        <w:t xml:space="preserve">akaratlagosan ilyen-olyan </w:t>
      </w:r>
      <w:r>
        <w:t>bizottsági tagságokhoz</w:t>
      </w:r>
      <w:r w:rsidR="00935DF4">
        <w:t xml:space="preserve"> </w:t>
      </w:r>
      <w:r>
        <w:t>jutni? Nos</w:t>
      </w:r>
      <w:r w:rsidR="00935DF4">
        <w:t>,</w:t>
      </w:r>
      <w:r>
        <w:t xml:space="preserve"> ez a kérdés</w:t>
      </w:r>
      <w:r w:rsidR="00935DF4">
        <w:t xml:space="preserve"> már olyan részletekre mutat rá (vazallushajlammal megszolgált pozíciók, </w:t>
      </w:r>
      <w:proofErr w:type="spellStart"/>
      <w:r w:rsidR="00935DF4">
        <w:t>win-win</w:t>
      </w:r>
      <w:proofErr w:type="spellEnd"/>
      <w:r w:rsidR="00935DF4">
        <w:t xml:space="preserve"> üzleti megfontolások, intrikus „üzleti” megoldások, stb.), melyekre a korábban már alkalmazott kulcsmondat (</w:t>
      </w:r>
      <w:proofErr w:type="gramStart"/>
      <w:r w:rsidR="00935DF4">
        <w:t>…es</w:t>
      </w:r>
      <w:proofErr w:type="gramEnd"/>
      <w:r w:rsidR="00935DF4">
        <w:t xml:space="preserve"> </w:t>
      </w:r>
      <w:proofErr w:type="spellStart"/>
      <w:r w:rsidR="00935DF4">
        <w:t>soll</w:t>
      </w:r>
      <w:proofErr w:type="spellEnd"/>
      <w:r w:rsidR="00935DF4">
        <w:t xml:space="preserve"> </w:t>
      </w:r>
      <w:proofErr w:type="spellStart"/>
      <w:r w:rsidR="00935DF4">
        <w:t>ein</w:t>
      </w:r>
      <w:proofErr w:type="spellEnd"/>
      <w:r w:rsidR="00935DF4">
        <w:t xml:space="preserve"> </w:t>
      </w:r>
      <w:proofErr w:type="spellStart"/>
      <w:r w:rsidR="00935DF4">
        <w:t>anderes</w:t>
      </w:r>
      <w:proofErr w:type="spellEnd"/>
      <w:r w:rsidR="00935DF4">
        <w:t xml:space="preserve"> </w:t>
      </w:r>
      <w:proofErr w:type="spellStart"/>
      <w:r w:rsidR="00935DF4">
        <w:t>Mal</w:t>
      </w:r>
      <w:proofErr w:type="spellEnd"/>
      <w:r w:rsidR="00935DF4">
        <w:t xml:space="preserve"> </w:t>
      </w:r>
      <w:proofErr w:type="spellStart"/>
      <w:r w:rsidR="00935DF4">
        <w:t>erzählt</w:t>
      </w:r>
      <w:proofErr w:type="spellEnd"/>
      <w:r w:rsidR="00935DF4">
        <w:t xml:space="preserve"> </w:t>
      </w:r>
      <w:proofErr w:type="spellStart"/>
      <w:r w:rsidR="00935DF4">
        <w:t>werden</w:t>
      </w:r>
      <w:proofErr w:type="spellEnd"/>
      <w:r w:rsidR="00935DF4">
        <w:t>…) érvényes…</w:t>
      </w:r>
    </w:p>
    <w:p w:rsidR="00935DF4" w:rsidRDefault="00935DF4" w:rsidP="00795A99">
      <w:pPr>
        <w:pStyle w:val="Listaszerbekezds"/>
        <w:numPr>
          <w:ilvl w:val="0"/>
          <w:numId w:val="8"/>
        </w:numPr>
        <w:jc w:val="both"/>
      </w:pPr>
      <w:r>
        <w:t>Hogyan lehet díjakat szerezni akaratlagosan? Ez már kevésbé zavaros ügylet: bárki létrehozhat egyesületeket, alapítványokat, melyek adott szakterületen mindenféle aktivitást felvállalnak, és mint pl. az ÉV AUTÓJA díj néhány év alatt az érintettek egymás között ilyen-olyan színvonalú (akár kiváló színvonalú) megoldásokért ilyen-olyan díjak kiadhatók – sőt, ha a díjazott objektumok alkotások, akkor még az alkotások száma is nő minden nevezést benyújtónál…</w:t>
      </w:r>
    </w:p>
    <w:p w:rsidR="00935DF4" w:rsidRDefault="00E05A2B" w:rsidP="00795A99">
      <w:pPr>
        <w:pStyle w:val="Listaszerbekezds"/>
        <w:numPr>
          <w:ilvl w:val="0"/>
          <w:numId w:val="8"/>
        </w:numPr>
        <w:jc w:val="both"/>
      </w:pPr>
      <w:r>
        <w:t>…</w:t>
      </w:r>
    </w:p>
    <w:p w:rsidR="00CF2A7F" w:rsidRDefault="00CF2A7F" w:rsidP="00CF2A7F">
      <w:pPr>
        <w:jc w:val="both"/>
      </w:pPr>
      <w:r>
        <w:t>Hogy az itt pontokba szedett alkalmazkodási lehetőségek végül milyen színvonalú tudományos teljesítményt termelnek ki, az teljesen független az itt leírt szerveződési logikától. Akár világmegváltó gondolatok is születhetnek, s persze akkor is nőnek a statisztikai értékek, ha csak a szómágia objektumai gyarapodnak számukat tekintve.</w:t>
      </w:r>
    </w:p>
    <w:p w:rsidR="00935DF4" w:rsidRDefault="00935DF4" w:rsidP="00CF2A7F">
      <w:pPr>
        <w:jc w:val="both"/>
      </w:pPr>
      <w:r>
        <w:t xml:space="preserve">Az, hogy egy életmű kapcsán az érintettek körében ne legyenek tantárgyak valamikor legalább a múltban (hiszen a szabályrendszer nem írja elő, hogy a tárgy élő tantárgy kell, hogy legyen), az szinte tényleg </w:t>
      </w:r>
      <w:proofErr w:type="spellStart"/>
      <w:r>
        <w:t>életszerűtlen</w:t>
      </w:r>
      <w:proofErr w:type="spellEnd"/>
      <w:r>
        <w:t>.</w:t>
      </w:r>
    </w:p>
    <w:p w:rsidR="001749AD" w:rsidRDefault="00CD7D6D" w:rsidP="00CD7D6D">
      <w:pPr>
        <w:pStyle w:val="Cmsor1"/>
      </w:pPr>
      <w:r>
        <w:t>Következtetések</w:t>
      </w:r>
    </w:p>
    <w:p w:rsidR="00CD7D6D" w:rsidRDefault="00CD7D6D" w:rsidP="001749AD">
      <w:pPr>
        <w:jc w:val="both"/>
      </w:pPr>
      <w:r>
        <w:t>Még mielőtt bárki értelmiségi nyavalygásnak minősítené a fentie</w:t>
      </w:r>
      <w:r w:rsidR="00B903F2">
        <w:t xml:space="preserve">ket, érdemes visszagondolni az </w:t>
      </w:r>
      <w:proofErr w:type="spellStart"/>
      <w:r>
        <w:t>anti-diszkriminatív</w:t>
      </w:r>
      <w:proofErr w:type="spellEnd"/>
      <w:r>
        <w:t xml:space="preserve"> önvizsgálatra vonatkozó felkérésre és arra, hogy az ott hivatkozott MTMT, mint </w:t>
      </w:r>
      <w:proofErr w:type="spellStart"/>
      <w:r>
        <w:t>big-data</w:t>
      </w:r>
      <w:proofErr w:type="spellEnd"/>
      <w:r>
        <w:t xml:space="preserve"> tanulmány operatív példákat közöl arra, mit is lehet a többdimenziós minősítés fogalma alatt érteni a naiv, önkényes, abszolút-küszöbértékes, ekvivalencia-hiányos megközelítésekkel szemben… Melyre legalább egy aktív vezető már írta azt, hogy: „</w:t>
      </w:r>
      <w:r w:rsidRPr="003E4A38">
        <w:rPr>
          <w:i/>
        </w:rPr>
        <w:t>Ez nagyon jó</w:t>
      </w:r>
      <w:r>
        <w:t>”…</w:t>
      </w:r>
    </w:p>
    <w:p w:rsidR="00536F60" w:rsidRDefault="00536F60" w:rsidP="00536F60">
      <w:pPr>
        <w:pStyle w:val="Cmsor1"/>
      </w:pPr>
      <w:r>
        <w:t xml:space="preserve">S végre a </w:t>
      </w:r>
      <w:proofErr w:type="spellStart"/>
      <w:r>
        <w:t>robotizációról</w:t>
      </w:r>
      <w:proofErr w:type="spellEnd"/>
    </w:p>
    <w:p w:rsidR="009A3F73" w:rsidRDefault="009A3F73" w:rsidP="009A3F73">
      <w:pPr>
        <w:jc w:val="both"/>
      </w:pPr>
      <w:r>
        <w:t xml:space="preserve">Mint az az eddigiek alapján talán több, mint világossá vált: a szubjektivitási teher hatalmas az érintett jelenségkörben. Ha azonban az ekvivalenciákat nem tételesen és nem is a mindösszesen szintjén akarja a mindenkori döntéshozó deklaratívan kezelni, akkor aligha marad más hátra, mint hinni az adat-beszállító alvállalkozóknak (ezen alrendszerek minden problémájával együtt), de a több-dimenziós értékelést az </w:t>
      </w:r>
      <w:r w:rsidR="00DF2000">
        <w:t>„</w:t>
      </w:r>
      <w:r>
        <w:t xml:space="preserve">MTMT, mint </w:t>
      </w:r>
      <w:proofErr w:type="spellStart"/>
      <w:r>
        <w:t>big-data</w:t>
      </w:r>
      <w:proofErr w:type="spellEnd"/>
      <w:r w:rsidR="00DF2000">
        <w:t>”</w:t>
      </w:r>
      <w:r>
        <w:t xml:space="preserve"> tanulmány logikáját követve kell és lehet végrehajtani. Mert:</w:t>
      </w:r>
    </w:p>
    <w:p w:rsidR="00536F60" w:rsidRDefault="009A3F73" w:rsidP="009A3F73">
      <w:pPr>
        <w:pStyle w:val="Listaszerbekezds"/>
        <w:numPr>
          <w:ilvl w:val="0"/>
          <w:numId w:val="9"/>
        </w:numPr>
        <w:jc w:val="both"/>
      </w:pPr>
      <w:r>
        <w:t xml:space="preserve">Az </w:t>
      </w:r>
      <w:proofErr w:type="spellStart"/>
      <w:r>
        <w:t>anti</w:t>
      </w:r>
      <w:r w:rsidR="00DF2000">
        <w:t>-</w:t>
      </w:r>
      <w:r>
        <w:t>diszkriminációs</w:t>
      </w:r>
      <w:proofErr w:type="spellEnd"/>
      <w:r>
        <w:t xml:space="preserve"> elvek gondoskodnak</w:t>
      </w:r>
      <w:r w:rsidR="00DF2000">
        <w:t xml:space="preserve"> a racionális ekvivalenciákról automatikusan.</w:t>
      </w:r>
    </w:p>
    <w:p w:rsidR="009A3F73" w:rsidRDefault="009A3F73" w:rsidP="009A3F73">
      <w:pPr>
        <w:pStyle w:val="Listaszerbekezds"/>
        <w:numPr>
          <w:ilvl w:val="0"/>
          <w:numId w:val="9"/>
        </w:numPr>
        <w:jc w:val="both"/>
      </w:pPr>
      <w:r>
        <w:t>A generációk összefüggésében az újaknak csak annyival kell többet tenni, mint a már adott fokozatba tartozók legjobbja (esetleg átlaga, ha az evolúciós nyomást csökkenteni akarja egy szabályzó erő például a tényleges generációváltás HR-szükségletei miatt).</w:t>
      </w:r>
    </w:p>
    <w:p w:rsidR="009A3F73" w:rsidRDefault="00DF2000" w:rsidP="009A3F73">
      <w:pPr>
        <w:pStyle w:val="Listaszerbekezds"/>
        <w:numPr>
          <w:ilvl w:val="0"/>
          <w:numId w:val="9"/>
        </w:numPr>
        <w:jc w:val="both"/>
      </w:pPr>
      <w:r>
        <w:t>Az adatok automatikusan vehetők át az alrendszerekből.</w:t>
      </w:r>
    </w:p>
    <w:p w:rsidR="009A3F73" w:rsidRDefault="00DF2000" w:rsidP="009A3F73">
      <w:pPr>
        <w:pStyle w:val="Listaszerbekezds"/>
        <w:numPr>
          <w:ilvl w:val="0"/>
          <w:numId w:val="9"/>
        </w:numPr>
        <w:jc w:val="both"/>
      </w:pPr>
      <w:r>
        <w:t>Az elő-minősítés automatikusan történhet meg.</w:t>
      </w:r>
    </w:p>
    <w:p w:rsidR="00DF2000" w:rsidRDefault="00DF2000" w:rsidP="009A3F73">
      <w:pPr>
        <w:pStyle w:val="Listaszerbekezds"/>
        <w:numPr>
          <w:ilvl w:val="0"/>
          <w:numId w:val="9"/>
        </w:numPr>
        <w:jc w:val="both"/>
      </w:pPr>
      <w:r>
        <w:t>A riasztás (</w:t>
      </w:r>
      <w:proofErr w:type="spellStart"/>
      <w:r>
        <w:t>alert</w:t>
      </w:r>
      <w:proofErr w:type="spellEnd"/>
      <w:r>
        <w:t>) automatikusan támogatja a döntéshozókat.</w:t>
      </w:r>
    </w:p>
    <w:p w:rsidR="00DF2000" w:rsidRDefault="00DF2000" w:rsidP="009A3F73">
      <w:pPr>
        <w:pStyle w:val="Listaszerbekezds"/>
        <w:numPr>
          <w:ilvl w:val="0"/>
          <w:numId w:val="9"/>
        </w:numPr>
        <w:jc w:val="both"/>
      </w:pPr>
      <w:r>
        <w:t>Az érintettek, a minősítendők pedig a mindenkori adatok alapján szimulációs számítások végezhetnek azt vizsgálva, melyik fronton és ponton milyen erőforrásigénnyel (</w:t>
      </w:r>
      <w:proofErr w:type="spellStart"/>
      <w:r>
        <w:t>inkl</w:t>
      </w:r>
      <w:proofErr w:type="spellEnd"/>
      <w:r>
        <w:t>. időáldozat) mikorra hová tudnak eljutni…</w:t>
      </w:r>
    </w:p>
    <w:p w:rsidR="00DF2000" w:rsidRDefault="00DF2000" w:rsidP="00DF2000">
      <w:pPr>
        <w:jc w:val="both"/>
      </w:pPr>
      <w:r>
        <w:t>Ha ennyi innováció nem elég csábító, hogy a rendszert magát rendszerszinten lehessen átalakítani az é</w:t>
      </w:r>
      <w:r w:rsidR="005F4DEC">
        <w:t>r</w:t>
      </w:r>
      <w:r>
        <w:t>intettek magas arányú egyetértésével, akkor azt a rendszert már kár a szómágia bármilyen PC (=</w:t>
      </w:r>
      <w:proofErr w:type="spellStart"/>
      <w:r>
        <w:t>political</w:t>
      </w:r>
      <w:proofErr w:type="spellEnd"/>
      <w:r w:rsidR="00B903F2">
        <w:t xml:space="preserve"> </w:t>
      </w:r>
      <w:proofErr w:type="spellStart"/>
      <w:r w:rsidR="00B903F2">
        <w:t>correct</w:t>
      </w:r>
      <w:proofErr w:type="spellEnd"/>
      <w:r w:rsidR="00B903F2">
        <w:t>) jelzőjével minősíteni</w:t>
      </w:r>
      <w:proofErr w:type="gramStart"/>
      <w:r w:rsidR="00B903F2">
        <w:t>?!</w:t>
      </w:r>
      <w:proofErr w:type="gramEnd"/>
    </w:p>
    <w:p w:rsidR="00AF35B4" w:rsidRDefault="00AF35B4" w:rsidP="00AF35B4">
      <w:pPr>
        <w:pStyle w:val="Cmsor1"/>
      </w:pPr>
      <w:r>
        <w:lastRenderedPageBreak/>
        <w:t>Anonim vélemények – egyetemi érintettektől</w:t>
      </w:r>
    </w:p>
    <w:p w:rsidR="00AF35B4" w:rsidRDefault="00AF35B4" w:rsidP="00AF35B4">
      <w:pPr>
        <w:jc w:val="both"/>
      </w:pPr>
      <w:r>
        <w:t>„</w:t>
      </w:r>
      <w:r w:rsidRPr="00AF35B4">
        <w:t>Köszönöm, hogy megtisztelsz bizalmaddal a témát illetően. Kétszer is elolvastam a szöveget. Komoly koncepció, de be kell vallanom, hogy nem az én szakterületem, s még az érintettség okán sem tudok egyelőre érdemi véleményt formálni róla. Csak általánosságban tudom megállapítani, hogy valószínűleg valahogy mérni kell, de hogy hogyan</w:t>
      </w:r>
      <w:proofErr w:type="gramStart"/>
      <w:r w:rsidRPr="00AF35B4">
        <w:t>...</w:t>
      </w:r>
      <w:proofErr w:type="gramEnd"/>
      <w:r w:rsidRPr="00AF35B4">
        <w:t xml:space="preserve"> Tekintettel kell lenni a szakmák közötti eltérésekre is. De azt is gondolom, hogy teret kell adni az egyéni teljesítmény egyedi elbírálásának is, de úgy hogy az ne legyen önkényes.</w:t>
      </w:r>
      <w:r>
        <w:t>”</w:t>
      </w:r>
    </w:p>
    <w:p w:rsidR="00AF35B4" w:rsidRDefault="00AF35B4" w:rsidP="00AF35B4">
      <w:pPr>
        <w:jc w:val="both"/>
      </w:pPr>
      <w:r>
        <w:t>„</w:t>
      </w:r>
      <w:r>
        <w:t>Átfutottam, és közben arra gondoltam, hogy egy rendkívül intelligens és mélyen gondolkodó ember gondolatai ezek, aki rendszerben szemléli a valóságot.</w:t>
      </w:r>
      <w:r>
        <w:t xml:space="preserve"> </w:t>
      </w:r>
      <w:r>
        <w:t>Én ilyen alap</w:t>
      </w:r>
      <w:r>
        <w:t>osságra soha nem lennék képes ”</w:t>
      </w:r>
    </w:p>
    <w:p w:rsidR="00AF35B4" w:rsidRDefault="00AF35B4" w:rsidP="00AF35B4">
      <w:pPr>
        <w:jc w:val="both"/>
      </w:pPr>
      <w:r>
        <w:t>Kommentárok:</w:t>
      </w:r>
    </w:p>
    <w:p w:rsidR="00AF35B4" w:rsidRDefault="00AF35B4" w:rsidP="00AF35B4">
      <w:pPr>
        <w:pStyle w:val="Listaszerbekezds"/>
        <w:numPr>
          <w:ilvl w:val="0"/>
          <w:numId w:val="10"/>
        </w:numPr>
        <w:jc w:val="both"/>
      </w:pPr>
      <w:r>
        <w:t>továbbra sem nem az a valódi lényeg, ki mondja…</w:t>
      </w:r>
    </w:p>
    <w:p w:rsidR="00B078E9" w:rsidRDefault="00AF35B4" w:rsidP="00AF35B4">
      <w:pPr>
        <w:pStyle w:val="Listaszerbekezds"/>
        <w:numPr>
          <w:ilvl w:val="0"/>
          <w:numId w:val="10"/>
        </w:numPr>
        <w:jc w:val="both"/>
      </w:pPr>
      <w:r>
        <w:t xml:space="preserve">de az talán lényeges, hogy több, mint egy tucatnyi, véletlenszerűen megszólított érintett (próba-olvasó) kapcsán nem volt az érintettség megértése ténylegesen tetten érhető </w:t>
      </w:r>
    </w:p>
    <w:p w:rsidR="00AF35B4" w:rsidRDefault="00B078E9" w:rsidP="00AF35B4">
      <w:pPr>
        <w:pStyle w:val="Listaszerbekezds"/>
        <w:numPr>
          <w:ilvl w:val="0"/>
          <w:numId w:val="10"/>
        </w:numPr>
        <w:jc w:val="both"/>
      </w:pPr>
      <w:r>
        <w:t>(sőt még az olvasásigazolások sem érkeztek meg csak mintegy 1/3-nyi arányban)</w:t>
      </w:r>
      <w:r w:rsidR="00AF35B4">
        <w:t xml:space="preserve"> </w:t>
      </w:r>
    </w:p>
    <w:p w:rsidR="00AF35B4" w:rsidRDefault="00B078E9" w:rsidP="00AF35B4">
      <w:pPr>
        <w:pStyle w:val="Listaszerbekezds"/>
        <w:numPr>
          <w:ilvl w:val="0"/>
          <w:numId w:val="10"/>
        </w:numPr>
        <w:jc w:val="both"/>
      </w:pPr>
      <w:r>
        <w:t xml:space="preserve">Vagyis: </w:t>
      </w:r>
      <w:bookmarkStart w:id="0" w:name="_GoBack"/>
      <w:bookmarkEnd w:id="0"/>
      <w:r w:rsidR="00AF35B4">
        <w:t xml:space="preserve">ha a felsőoktatás, vagyis a tudás fellegvárai saját életüket nem képesek, nem akarják, nem tudják, nem képesek tudományos szemmel, a jelenségeknek méltó komplexitással szemlélni </w:t>
      </w:r>
    </w:p>
    <w:p w:rsidR="00AF35B4" w:rsidRDefault="00AF35B4" w:rsidP="00AF35B4">
      <w:pPr>
        <w:pStyle w:val="Listaszerbekezds"/>
        <w:numPr>
          <w:ilvl w:val="0"/>
          <w:numId w:val="10"/>
        </w:numPr>
        <w:jc w:val="both"/>
      </w:pPr>
      <w:r>
        <w:t xml:space="preserve">(pl. mert félnek, pl. mert nyomás alatt állnak, pl. mert arra szocializálták őket, hogy az álláshelyért mindent le kell nyelni, stb.), </w:t>
      </w:r>
    </w:p>
    <w:p w:rsidR="00AF35B4" w:rsidRDefault="00AF35B4" w:rsidP="00AF35B4">
      <w:pPr>
        <w:pStyle w:val="Listaszerbekezds"/>
        <w:numPr>
          <w:ilvl w:val="0"/>
          <w:numId w:val="10"/>
        </w:numPr>
        <w:jc w:val="both"/>
      </w:pPr>
      <w:r>
        <w:t xml:space="preserve">akkor a felsőoktatásnak nem fellegvárai, csak FÉL-LÉGVÁRAI vannak </w:t>
      </w:r>
    </w:p>
    <w:p w:rsidR="00AF35B4" w:rsidRDefault="00AF35B4" w:rsidP="00AF35B4">
      <w:pPr>
        <w:pStyle w:val="Listaszerbekezds"/>
        <w:numPr>
          <w:ilvl w:val="1"/>
          <w:numId w:val="10"/>
        </w:numPr>
        <w:jc w:val="both"/>
      </w:pPr>
      <w:r>
        <w:t xml:space="preserve">(vö. </w:t>
      </w:r>
      <w:proofErr w:type="spellStart"/>
      <w:r>
        <w:t>Hohnburg</w:t>
      </w:r>
      <w:proofErr w:type="spellEnd"/>
      <w:r>
        <w:t>=</w:t>
      </w:r>
      <w:proofErr w:type="spellStart"/>
      <w:r>
        <w:t>Hockburg</w:t>
      </w:r>
      <w:proofErr w:type="spellEnd"/>
      <w:r>
        <w:t xml:space="preserve"> </w:t>
      </w:r>
      <w:proofErr w:type="gramStart"/>
      <w:r>
        <w:t xml:space="preserve">&lt; </w:t>
      </w:r>
      <w:proofErr w:type="spellStart"/>
      <w:r>
        <w:t>Hochburg</w:t>
      </w:r>
      <w:proofErr w:type="spellEnd"/>
      <w:proofErr w:type="gramEnd"/>
      <w:r>
        <w:t xml:space="preserve">, ill. </w:t>
      </w:r>
    </w:p>
    <w:p w:rsidR="00AF35B4" w:rsidRPr="00AF35B4" w:rsidRDefault="00AF35B4" w:rsidP="00AF35B4">
      <w:pPr>
        <w:pStyle w:val="Listaszerbekezds"/>
        <w:numPr>
          <w:ilvl w:val="1"/>
          <w:numId w:val="10"/>
        </w:numPr>
        <w:jc w:val="both"/>
      </w:pPr>
      <w:proofErr w:type="spellStart"/>
      <w:r>
        <w:t>agro-polis</w:t>
      </w:r>
      <w:proofErr w:type="spellEnd"/>
      <w:r>
        <w:t xml:space="preserve"> </w:t>
      </w:r>
      <w:proofErr w:type="gramStart"/>
      <w:r>
        <w:t xml:space="preserve">&lt; </w:t>
      </w:r>
      <w:proofErr w:type="spellStart"/>
      <w:r>
        <w:t>acropolis</w:t>
      </w:r>
      <w:proofErr w:type="spellEnd"/>
      <w:proofErr w:type="gramEnd"/>
      <w:r>
        <w:t>)…</w:t>
      </w:r>
    </w:p>
    <w:sectPr w:rsidR="00AF35B4" w:rsidRPr="00AF3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78E4"/>
    <w:multiLevelType w:val="hybridMultilevel"/>
    <w:tmpl w:val="3B40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0231"/>
    <w:multiLevelType w:val="hybridMultilevel"/>
    <w:tmpl w:val="31A2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F45D1"/>
    <w:multiLevelType w:val="hybridMultilevel"/>
    <w:tmpl w:val="6588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D7802"/>
    <w:multiLevelType w:val="hybridMultilevel"/>
    <w:tmpl w:val="B12C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2090E"/>
    <w:multiLevelType w:val="hybridMultilevel"/>
    <w:tmpl w:val="0F84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D1BC8"/>
    <w:multiLevelType w:val="hybridMultilevel"/>
    <w:tmpl w:val="173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E5E35"/>
    <w:multiLevelType w:val="hybridMultilevel"/>
    <w:tmpl w:val="D972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15D14"/>
    <w:multiLevelType w:val="hybridMultilevel"/>
    <w:tmpl w:val="48E8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733E0"/>
    <w:multiLevelType w:val="hybridMultilevel"/>
    <w:tmpl w:val="9F20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43B43"/>
    <w:multiLevelType w:val="hybridMultilevel"/>
    <w:tmpl w:val="883CF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ED"/>
    <w:rsid w:val="0004102A"/>
    <w:rsid w:val="00083D22"/>
    <w:rsid w:val="00090521"/>
    <w:rsid w:val="000F2496"/>
    <w:rsid w:val="001017CF"/>
    <w:rsid w:val="001119D3"/>
    <w:rsid w:val="001304AD"/>
    <w:rsid w:val="001749AD"/>
    <w:rsid w:val="00184EA9"/>
    <w:rsid w:val="001A064A"/>
    <w:rsid w:val="001C1676"/>
    <w:rsid w:val="00215769"/>
    <w:rsid w:val="002479EA"/>
    <w:rsid w:val="00247BD7"/>
    <w:rsid w:val="00287ACF"/>
    <w:rsid w:val="0035289A"/>
    <w:rsid w:val="00381E10"/>
    <w:rsid w:val="003A6D00"/>
    <w:rsid w:val="003B381C"/>
    <w:rsid w:val="003C0F30"/>
    <w:rsid w:val="003C6D81"/>
    <w:rsid w:val="003E4A38"/>
    <w:rsid w:val="003F5717"/>
    <w:rsid w:val="00440467"/>
    <w:rsid w:val="00452761"/>
    <w:rsid w:val="004711F1"/>
    <w:rsid w:val="00486095"/>
    <w:rsid w:val="004F3604"/>
    <w:rsid w:val="00536F60"/>
    <w:rsid w:val="005F07B9"/>
    <w:rsid w:val="005F4DEC"/>
    <w:rsid w:val="00621F48"/>
    <w:rsid w:val="00670573"/>
    <w:rsid w:val="006C00D8"/>
    <w:rsid w:val="006C111B"/>
    <w:rsid w:val="006D2263"/>
    <w:rsid w:val="006D6B34"/>
    <w:rsid w:val="00795A99"/>
    <w:rsid w:val="00873F81"/>
    <w:rsid w:val="00897F64"/>
    <w:rsid w:val="008A2040"/>
    <w:rsid w:val="008A2B55"/>
    <w:rsid w:val="008D2179"/>
    <w:rsid w:val="008E718A"/>
    <w:rsid w:val="008F7419"/>
    <w:rsid w:val="00904661"/>
    <w:rsid w:val="00935DF4"/>
    <w:rsid w:val="00946313"/>
    <w:rsid w:val="0099514F"/>
    <w:rsid w:val="009A3F73"/>
    <w:rsid w:val="00A63BEE"/>
    <w:rsid w:val="00A843ED"/>
    <w:rsid w:val="00AA4686"/>
    <w:rsid w:val="00AF1CAA"/>
    <w:rsid w:val="00AF35B4"/>
    <w:rsid w:val="00B078E9"/>
    <w:rsid w:val="00B903F2"/>
    <w:rsid w:val="00BA07B4"/>
    <w:rsid w:val="00BB69EE"/>
    <w:rsid w:val="00C27842"/>
    <w:rsid w:val="00CB1685"/>
    <w:rsid w:val="00CD7D6D"/>
    <w:rsid w:val="00CF2A7F"/>
    <w:rsid w:val="00D05B91"/>
    <w:rsid w:val="00DA1EF6"/>
    <w:rsid w:val="00DC7080"/>
    <w:rsid w:val="00DF2000"/>
    <w:rsid w:val="00E05A2B"/>
    <w:rsid w:val="00E2206D"/>
    <w:rsid w:val="00E366FD"/>
    <w:rsid w:val="00E442FE"/>
    <w:rsid w:val="00EA4106"/>
    <w:rsid w:val="00EF4B64"/>
    <w:rsid w:val="00F31910"/>
    <w:rsid w:val="00F365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A9166-1C64-4EA9-AA42-103B5B8A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A84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843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843ED"/>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A843ED"/>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215769"/>
    <w:rPr>
      <w:color w:val="0563C1" w:themeColor="hyperlink"/>
      <w:u w:val="single"/>
    </w:rPr>
  </w:style>
  <w:style w:type="table" w:styleId="Rcsostblzat">
    <w:name w:val="Table Grid"/>
    <w:basedOn w:val="Normltblzat"/>
    <w:uiPriority w:val="39"/>
    <w:rsid w:val="001C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F4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u.gau.hu/miau/65/tdketika.xls" TargetMode="External"/><Relationship Id="rId13" Type="http://schemas.openxmlformats.org/officeDocument/2006/relationships/hyperlink" Target="http://miau.gau.hu/miau/183/etdk2013_v3.doc" TargetMode="External"/><Relationship Id="rId18" Type="http://schemas.openxmlformats.org/officeDocument/2006/relationships/hyperlink" Target="http://miau.gau.hu/miau2009/index.php3?x=e8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miau.gau.hu/miau/208/20151120_v2.pdf" TargetMode="External"/><Relationship Id="rId12" Type="http://schemas.openxmlformats.org/officeDocument/2006/relationships/hyperlink" Target="http://miau.gau.hu/miau/182/etdk2013_baczai_gyorgyne.pdf" TargetMode="External"/><Relationship Id="rId17" Type="http://schemas.openxmlformats.org/officeDocument/2006/relationships/hyperlink" Target="http://miau.gau.hu/miau/210/mtmt_big_data_v1.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au.gau.hu/miau/207/tdk_letra_v2.doc" TargetMode="External"/><Relationship Id="rId20" Type="http://schemas.openxmlformats.org/officeDocument/2006/relationships/hyperlink" Target="https://szie.hu/kueldetesnyilatkozat" TargetMode="External"/><Relationship Id="rId1" Type="http://schemas.openxmlformats.org/officeDocument/2006/relationships/customXml" Target="../customXml/item1.xml"/><Relationship Id="rId6" Type="http://schemas.openxmlformats.org/officeDocument/2006/relationships/hyperlink" Target="https://hungary.pure.elsevier.com/" TargetMode="External"/><Relationship Id="rId11" Type="http://schemas.openxmlformats.org/officeDocument/2006/relationships/hyperlink" Target="http://miau.gau.hu/miau/181/etdk_2013_v4.doc"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miau.gau.hu/miau/200/otdk_v1.doc" TargetMode="External"/><Relationship Id="rId23" Type="http://schemas.openxmlformats.org/officeDocument/2006/relationships/image" Target="media/image2.png"/><Relationship Id="rId10" Type="http://schemas.openxmlformats.org/officeDocument/2006/relationships/hyperlink" Target="http://miau.gau.hu/miau/180/plagium_v2.docx" TargetMode="External"/><Relationship Id="rId19" Type="http://schemas.openxmlformats.org/officeDocument/2006/relationships/hyperlink" Target="http://miau.gau.hu/miau/208/20151120.pptx" TargetMode="External"/><Relationship Id="rId4" Type="http://schemas.openxmlformats.org/officeDocument/2006/relationships/settings" Target="settings.xml"/><Relationship Id="rId9" Type="http://schemas.openxmlformats.org/officeDocument/2006/relationships/hyperlink" Target="http://miau.gau.hu/miau/147/anonim_tdk.xls" TargetMode="External"/><Relationship Id="rId14" Type="http://schemas.openxmlformats.org/officeDocument/2006/relationships/hyperlink" Target="http://miau.gau.hu/miau/200/otdk_v2.doc" TargetMode="External"/><Relationship Id="rId22" Type="http://schemas.openxmlformats.org/officeDocument/2006/relationships/hyperlink" Target="http://elteonline.hu/tudomany/2015/10/17/meg-csak-negyen-ertettek-meg-a-vilago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9B90-FD6F-498C-91DF-1937F37F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13</Pages>
  <Words>4494</Words>
  <Characters>25621</Characters>
  <Application>Microsoft Office Word</Application>
  <DocSecurity>0</DocSecurity>
  <Lines>213</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dc:creator>
  <cp:keywords/>
  <dc:description/>
  <cp:lastModifiedBy>Pitlik László</cp:lastModifiedBy>
  <cp:revision>55</cp:revision>
  <dcterms:created xsi:type="dcterms:W3CDTF">2016-10-13T14:54:00Z</dcterms:created>
  <dcterms:modified xsi:type="dcterms:W3CDTF">2016-11-02T10:35:00Z</dcterms:modified>
</cp:coreProperties>
</file>