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allgatoktable"/>
        <w:tblW w:w="9828" w:type="dxa"/>
        <w:tblLook w:val="01E0" w:firstRow="1" w:lastRow="1" w:firstColumn="1" w:lastColumn="1" w:noHBand="0" w:noVBand="0"/>
      </w:tblPr>
      <w:tblGrid>
        <w:gridCol w:w="4914"/>
        <w:gridCol w:w="4914"/>
      </w:tblGrid>
      <w:tr w:rsidR="00C265CE" w:rsidRPr="009E5FF1" w:rsidTr="006576D0">
        <w:trPr>
          <w:trHeight w:val="1521"/>
        </w:trPr>
        <w:tc>
          <w:tcPr>
            <w:tcW w:w="4914" w:type="dxa"/>
          </w:tcPr>
          <w:p w:rsidR="00C265CE" w:rsidRDefault="00E501D0" w:rsidP="004D7940">
            <w:pPr>
              <w:pStyle w:val="Hallgatonev"/>
              <w:rPr>
                <w:caps/>
              </w:rPr>
            </w:pPr>
            <w:bookmarkStart w:id="0" w:name="nev"/>
            <w:r>
              <w:rPr>
                <w:caps/>
              </w:rPr>
              <w:t>LASZLO PITLIK</w:t>
            </w:r>
          </w:p>
          <w:p w:rsidR="00C275A3" w:rsidRDefault="00186641" w:rsidP="00C275A3">
            <w:pPr>
              <w:pStyle w:val="Hallgatokepzes"/>
            </w:pPr>
            <w:r w:rsidRPr="002361E2">
              <w:rPr>
                <w:i/>
              </w:rPr>
              <w:t>ptlklszl@caesar.elte.hu</w:t>
            </w:r>
            <w:r w:rsidRPr="002361E2">
              <w:rPr>
                <w:i/>
              </w:rPr>
              <w:br/>
            </w:r>
            <w:r w:rsidR="00A96AEC">
              <w:t>teacher education MA (chemistry-mathematics)</w:t>
            </w:r>
            <w:r w:rsidR="00A96AEC">
              <w:br/>
            </w:r>
            <w:r w:rsidR="00E77B23">
              <w:t>Unified, 7. semester</w:t>
            </w:r>
          </w:p>
          <w:p w:rsidR="00C265CE" w:rsidRPr="009E5FF1" w:rsidRDefault="00E77B23" w:rsidP="009763E0">
            <w:pPr>
              <w:pStyle w:val="Hallgatointezmeny-kar"/>
              <w:rPr>
                <w:b/>
                <w:caps/>
              </w:rPr>
            </w:pPr>
            <w:r>
              <w:t>Eötvös Loránd University</w:t>
            </w:r>
            <w:r w:rsidR="00C275A3">
              <w:br/>
            </w:r>
            <w:r w:rsidR="00DB4822">
              <w:t>Faculty of Science</w:t>
            </w:r>
          </w:p>
        </w:tc>
        <w:tc>
          <w:tcPr>
            <w:tcW w:w="4914" w:type="dxa"/>
          </w:tcPr>
          <w:p w:rsidR="00DB4822" w:rsidRPr="00DB4822" w:rsidRDefault="00DB4822" w:rsidP="004D7940">
            <w:pPr>
              <w:pStyle w:val="Hallgatonev"/>
              <w:rPr>
                <w:caps/>
              </w:rPr>
            </w:pPr>
            <w:r w:rsidRPr="00DB4822">
              <w:rPr>
                <w:caps/>
              </w:rPr>
              <w:t/>
            </w:r>
          </w:p>
          <w:p w:rsidR="00DB4822" w:rsidRDefault="00186641" w:rsidP="004D7940">
            <w:pPr>
              <w:pStyle w:val="Hallgatokepzes"/>
            </w:pPr>
            <w:bookmarkStart w:id="1" w:name="_GoBack"/>
            <w:r w:rsidRPr="002361E2">
              <w:rPr>
                <w:i/>
              </w:rPr>
              <w:t/>
            </w:r>
            <w:r w:rsidRPr="002361E2">
              <w:rPr>
                <w:i/>
              </w:rPr>
              <w:br/>
            </w:r>
            <w:bookmarkEnd w:id="1"/>
            <w:r w:rsidR="00C275A3">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9763E0">
      <w:pPr>
        <w:pStyle w:val="Konzulensekcimke"/>
      </w:pPr>
      <w:r>
        <w:t>Supervisor:</w:t>
      </w:r>
    </w:p>
    <w:tbl>
      <w:tblPr>
        <w:tblStyle w:val="Konzulensektable"/>
        <w:tblW w:w="0" w:type="auto"/>
        <w:tblLook w:val="04A0" w:firstRow="1" w:lastRow="0" w:firstColumn="1" w:lastColumn="0" w:noHBand="0" w:noVBand="1"/>
      </w:tblPr>
      <w:tblGrid>
        <w:gridCol w:w="9854"/>
      </w:tblGrid>
      <w:tr w:rsidR="00DB4822" w:rsidTr="00DB4822">
        <w:tc>
          <w:tcPr>
            <w:tcW w:w="9854" w:type="dxa"/>
          </w:tcPr>
          <w:p w:rsidR="00DB4822" w:rsidRPr="00DB4822" w:rsidRDefault="00DB4822" w:rsidP="009763E0">
            <w:pPr>
              <w:pStyle w:val="Konzulenseknev"/>
            </w:pPr>
            <w:r w:rsidRPr="00DB4822">
              <w:t>Laszlo Pitlik</w:t>
            </w:r>
          </w:p>
          <w:p w:rsidR="00DB4822" w:rsidRDefault="00DB4822" w:rsidP="009763E0">
            <w:pPr>
              <w:pStyle w:val="Konzulensektitulus"/>
            </w:pPr>
            <w:r w:rsidRPr="00DB4822">
              <w:t>head of research group My-X, SZIE GTK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Similarity analyses in the process of summative evaluation</w:t>
      </w:r>
      <w:r>
        <w:t xml:space="preserve"/>
      </w:r>
    </w:p>
    <w:p w:rsidR="00D71DF5" w:rsidRDefault="00D71DF5" w:rsidP="00AD2602">
      <w:pPr>
        <w:jc w:val="both"/>
      </w:pPr>
    </w:p>
    <w:p>
      <w:pPr>
        <w:widowControl w:val="on"/>
        <w:pBdr/>
        <w:spacing w:before="240" w:after="240" w:line="240" w:lineRule="auto"/>
        <w:ind w:left="0" w:right="0"/>
        <w:jc w:val="left"/>
      </w:pPr>
      <w:r>
        <w:rPr>
          <w:color w:val="000000"/>
          <w:sz w:val="24"/>
          <w:szCs w:val="24"/>
        </w:rPr>
        <w:t xml:space="preserve">The summative evaluation is a fundamental part of the school systems. In this paper, the author considers the summative evaluation a wide-spread practice (e.g. mid-term or end-of-year grading)</w:t>
      </w:r>
      <w:r>
        <w:rPr>
          <w:color w:val="000000"/>
          <w:sz w:val="24"/>
          <w:szCs w:val="24"/>
        </w:rPr>
        <w:br/>
        <w:t xml:space="preserve">Teachers, trying to reach the maximum objectivity of their grading system, may use various weighting methods to calculate the appropriate averages of the students’ previous grades. These weighting methods can be righteous but must be inevitably subjective as well.</w:t>
      </w:r>
      <w:r>
        <w:rPr>
          <w:color w:val="000000"/>
          <w:sz w:val="24"/>
          <w:szCs w:val="24"/>
        </w:rPr>
        <w:br/>
        <w:t xml:space="preserve">Using the similarity analysis software (COCO), there are other possibilities and this paper focuses on the introduction of some of them. The similarity analysis uses staircase functions to evaluate each unique value of every attribute instead of the global weight-coefficients.</w:t>
      </w:r>
      <w:r>
        <w:rPr>
          <w:color w:val="000000"/>
          <w:sz w:val="24"/>
          <w:szCs w:val="24"/>
        </w:rPr>
        <w:br/>
        <w:t xml:space="preserve">The anti-discriminative (Y0) method of the similarity analyses has a special “null hypothesis” considering every object (in this case: student) to be equal in the final summative evaluation. If a fitting set of staircase functions can not be found during the evaluation process, the confirmed “best” and “worst” students’ performance will be revealed.</w:t>
      </w:r>
      <w:r>
        <w:rPr>
          <w:color w:val="000000"/>
          <w:sz w:val="24"/>
          <w:szCs w:val="24"/>
        </w:rPr>
        <w:br/>
        <w:t xml:space="preserve">Being aware of these confirmed extremities of the students’ performance allows teachers to make their evaluation system more objective and to manage their available capacities more efficiently.</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38" w:rsidRDefault="003B3838">
      <w:r>
        <w:separator/>
      </w:r>
    </w:p>
  </w:endnote>
  <w:endnote w:type="continuationSeparator" w:id="0">
    <w:p w:rsidR="003B3838" w:rsidRDefault="003B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AE" w:rsidRDefault="003D74DB" w:rsidP="003713EA">
    <w:pPr>
      <w:pStyle w:val="llb"/>
      <w:framePr w:wrap="around" w:vAnchor="text" w:hAnchor="margin" w:xAlign="center" w:y="1"/>
      <w:rPr>
        <w:rStyle w:val="Oldalszm"/>
      </w:rPr>
    </w:pPr>
    <w:r>
      <w:rPr>
        <w:rStyle w:val="Oldalszm"/>
      </w:rPr>
      <w:fldChar w:fldCharType="begin"/>
    </w:r>
    <w:r w:rsidR="00CE0EAE">
      <w:rPr>
        <w:rStyle w:val="Oldalszm"/>
      </w:rPr>
      <w:instrText xml:space="preserve">PAGE  </w:instrText>
    </w:r>
    <w:r>
      <w:rPr>
        <w:rStyle w:val="Oldalszm"/>
      </w:rPr>
      <w:fldChar w:fldCharType="end"/>
    </w:r>
  </w:p>
  <w:p w:rsidR="00CE0EAE" w:rsidRDefault="00CE0EA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AE" w:rsidRDefault="00CE0EAE" w:rsidP="005B5357">
    <w:pPr>
      <w:pStyle w:val="llb"/>
      <w:pBdr>
        <w:top w:val="single" w:sz="4" w:space="1" w:color="auto"/>
      </w:pBdr>
      <w:tabs>
        <w:tab w:val="clear" w:pos="4536"/>
        <w:tab w:val="clear" w:pos="9072"/>
        <w:tab w:val="left" w:pos="5895"/>
      </w:tabs>
      <w:ind w:left="1620" w:right="17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38" w:rsidRDefault="003B3838">
      <w:r>
        <w:separator/>
      </w:r>
    </w:p>
  </w:footnote>
  <w:footnote w:type="continuationSeparator" w:id="0">
    <w:p w:rsidR="003B3838" w:rsidRDefault="003B3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AE" w:rsidRDefault="00CE0EAE" w:rsidP="003713EA">
    <w:pPr>
      <w:pStyle w:val="lfej"/>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976868">
    <w:multiLevelType w:val="hybridMultilevel"/>
    <w:lvl w:ilvl="0" w:tplc="619087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976868">
    <w:abstractNumId w:val="19976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3FD0"/>
    <w:rsid w:val="000C08A6"/>
    <w:rsid w:val="00130581"/>
    <w:rsid w:val="00161DAE"/>
    <w:rsid w:val="00186641"/>
    <w:rsid w:val="001A3460"/>
    <w:rsid w:val="001D0EFC"/>
    <w:rsid w:val="001F7C77"/>
    <w:rsid w:val="00230D74"/>
    <w:rsid w:val="002361E2"/>
    <w:rsid w:val="00296682"/>
    <w:rsid w:val="002C7C6C"/>
    <w:rsid w:val="003713EA"/>
    <w:rsid w:val="003965ED"/>
    <w:rsid w:val="003B3838"/>
    <w:rsid w:val="003D74DB"/>
    <w:rsid w:val="003D7710"/>
    <w:rsid w:val="00444213"/>
    <w:rsid w:val="004530A9"/>
    <w:rsid w:val="004D7940"/>
    <w:rsid w:val="004D7B26"/>
    <w:rsid w:val="00513B96"/>
    <w:rsid w:val="00527380"/>
    <w:rsid w:val="00534011"/>
    <w:rsid w:val="00561D6C"/>
    <w:rsid w:val="00577BB0"/>
    <w:rsid w:val="005819C2"/>
    <w:rsid w:val="005B5357"/>
    <w:rsid w:val="005B724A"/>
    <w:rsid w:val="00600471"/>
    <w:rsid w:val="00616ADB"/>
    <w:rsid w:val="006576D0"/>
    <w:rsid w:val="00663FD0"/>
    <w:rsid w:val="006C7AD0"/>
    <w:rsid w:val="006D12BB"/>
    <w:rsid w:val="00746D08"/>
    <w:rsid w:val="00784935"/>
    <w:rsid w:val="007B6626"/>
    <w:rsid w:val="007E1737"/>
    <w:rsid w:val="007F67B0"/>
    <w:rsid w:val="008068D5"/>
    <w:rsid w:val="00855FDD"/>
    <w:rsid w:val="00871C35"/>
    <w:rsid w:val="008A4696"/>
    <w:rsid w:val="008D1E48"/>
    <w:rsid w:val="00904078"/>
    <w:rsid w:val="00961D10"/>
    <w:rsid w:val="00962C76"/>
    <w:rsid w:val="009707DC"/>
    <w:rsid w:val="009763E0"/>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3A85C-E095-42C2-9DFD-233DFC8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63E0"/>
    <w:rPr>
      <w:sz w:val="24"/>
      <w:szCs w:val="24"/>
      <w:lang w:val="hu-HU" w:eastAsia="hu-HU"/>
    </w:rPr>
  </w:style>
  <w:style w:type="paragraph" w:styleId="Cmsor1">
    <w:name w:val="heading 1"/>
    <w:basedOn w:val="Norml"/>
    <w:next w:val="Norml"/>
    <w:qFormat/>
    <w:rsid w:val="0099058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3713EA"/>
    <w:pPr>
      <w:tabs>
        <w:tab w:val="center" w:pos="4536"/>
        <w:tab w:val="right" w:pos="9072"/>
      </w:tabs>
    </w:pPr>
  </w:style>
  <w:style w:type="paragraph" w:styleId="llb">
    <w:name w:val="footer"/>
    <w:basedOn w:val="Norml"/>
    <w:rsid w:val="003713EA"/>
    <w:pPr>
      <w:tabs>
        <w:tab w:val="center" w:pos="4536"/>
        <w:tab w:val="right" w:pos="9072"/>
      </w:tabs>
    </w:pPr>
  </w:style>
  <w:style w:type="character" w:styleId="Oldalszm">
    <w:name w:val="page number"/>
    <w:basedOn w:val="Bekezdsalapbettpusa"/>
    <w:rsid w:val="003713EA"/>
  </w:style>
  <w:style w:type="table" w:styleId="Rcsostblzat">
    <w:name w:val="Table Grid"/>
    <w:basedOn w:val="Normltblzat"/>
    <w:rsid w:val="00B9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allgatoktable">
    <w:name w:val="Hallgatok table"/>
    <w:basedOn w:val="Normltblzat"/>
    <w:rsid w:val="00DB4822"/>
    <w:tblPr/>
  </w:style>
  <w:style w:type="table" w:customStyle="1" w:styleId="Konzulensektable">
    <w:name w:val="Konzulensek table"/>
    <w:basedOn w:val="Normltblzat"/>
    <w:rsid w:val="00DB4822"/>
    <w:tblPr/>
  </w:style>
  <w:style w:type="paragraph" w:customStyle="1" w:styleId="Hallgatonev">
    <w:name w:val="Hallgato nev"/>
    <w:basedOn w:val="Cmsor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l"/>
    <w:qFormat/>
    <w:rsid w:val="004D7940"/>
    <w:pPr>
      <w:spacing w:after="120"/>
    </w:pPr>
  </w:style>
  <w:style w:type="paragraph" w:customStyle="1" w:styleId="Hallgatointezmeny-kar">
    <w:name w:val="Hallgato intezmeny-kar"/>
    <w:basedOn w:val="Norml"/>
    <w:qFormat/>
    <w:rsid w:val="004D7940"/>
  </w:style>
  <w:style w:type="paragraph" w:customStyle="1" w:styleId="Konzulensekcimke">
    <w:name w:val="Konzulensek cimke"/>
    <w:basedOn w:val="Norml"/>
    <w:qFormat/>
    <w:rsid w:val="004D7940"/>
    <w:pPr>
      <w:jc w:val="right"/>
    </w:pPr>
    <w:rPr>
      <w:i/>
    </w:rPr>
  </w:style>
  <w:style w:type="paragraph" w:customStyle="1" w:styleId="Cim1">
    <w:name w:val="Cim 1"/>
    <w:basedOn w:val="Norml"/>
    <w:qFormat/>
    <w:rsid w:val="004D7940"/>
    <w:pPr>
      <w:jc w:val="center"/>
    </w:pPr>
    <w:rPr>
      <w:b/>
    </w:rPr>
  </w:style>
  <w:style w:type="paragraph" w:customStyle="1" w:styleId="Cim2">
    <w:name w:val="Cim 2"/>
    <w:basedOn w:val="Norml"/>
    <w:qFormat/>
    <w:rsid w:val="004D7940"/>
    <w:pPr>
      <w:jc w:val="center"/>
    </w:pPr>
  </w:style>
  <w:style w:type="paragraph" w:customStyle="1" w:styleId="Rezumeszoveg">
    <w:name w:val="Rezume szoveg"/>
    <w:basedOn w:val="Norml"/>
    <w:qFormat/>
    <w:rsid w:val="004D7940"/>
    <w:pPr>
      <w:jc w:val="both"/>
    </w:pPr>
  </w:style>
  <w:style w:type="paragraph" w:customStyle="1" w:styleId="Konzulensektitulus">
    <w:name w:val="Konzulensek titulus"/>
    <w:basedOn w:val="Konzulensekcimke"/>
    <w:qFormat/>
    <w:rsid w:val="009763E0"/>
  </w:style>
  <w:style w:type="paragraph" w:customStyle="1" w:styleId="Konzulenseknev">
    <w:name w:val="Konzulensek nev"/>
    <w:basedOn w:val="Konzulensekcimke"/>
    <w:qFormat/>
    <w:rsid w:val="009763E0"/>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3790108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Words>
  <Characters>270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Kertész Gábor</cp:lastModifiedBy>
  <cp:revision>18</cp:revision>
  <cp:lastPrinted>1899-12-31T23:00:00Z</cp:lastPrinted>
  <dcterms:created xsi:type="dcterms:W3CDTF">2012-11-05T21:53:00Z</dcterms:created>
  <dcterms:modified xsi:type="dcterms:W3CDTF">2016-09-14T09:36:00Z</dcterms:modified>
</cp:coreProperties>
</file>