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68" w:rsidRPr="00430568" w:rsidRDefault="003C252B" w:rsidP="00430568">
      <w:pPr>
        <w:pBdr>
          <w:bottom w:val="single" w:sz="8" w:space="4" w:color="4F81BD"/>
        </w:pBdr>
        <w:spacing w:before="240" w:line="240" w:lineRule="auto"/>
        <w:ind w:firstLine="284"/>
        <w:contextualSpacing/>
        <w:rPr>
          <w:rFonts w:ascii="Cambria" w:eastAsia="Times New Roman" w:hAnsi="Cambria" w:cs="Times New Roman"/>
          <w:color w:val="17365D"/>
          <w:spacing w:val="5"/>
          <w:kern w:val="28"/>
          <w:sz w:val="52"/>
          <w:szCs w:val="52"/>
          <w:lang w:eastAsia="hu-HU"/>
        </w:rPr>
      </w:pPr>
      <w:r>
        <w:rPr>
          <w:rFonts w:ascii="Cambria" w:eastAsia="Times New Roman" w:hAnsi="Cambria" w:cs="Times New Roman"/>
          <w:color w:val="17365D"/>
          <w:spacing w:val="5"/>
          <w:kern w:val="28"/>
          <w:sz w:val="52"/>
          <w:szCs w:val="52"/>
          <w:lang w:eastAsia="hu-HU"/>
        </w:rPr>
        <w:t>Az érettségi vizsga prediktív validitása</w:t>
      </w:r>
    </w:p>
    <w:p w:rsidR="00430568" w:rsidRPr="00430568" w:rsidRDefault="003C252B" w:rsidP="003C252B">
      <w:pPr>
        <w:numPr>
          <w:ilvl w:val="1"/>
          <w:numId w:val="0"/>
        </w:numPr>
        <w:spacing w:after="480"/>
        <w:ind w:right="283"/>
        <w:jc w:val="right"/>
        <w:rPr>
          <w:rFonts w:ascii="Cambria" w:eastAsia="Times New Roman" w:hAnsi="Cambria" w:cs="Times New Roman"/>
          <w:i/>
          <w:iCs/>
          <w:color w:val="4F81BD"/>
          <w:spacing w:val="15"/>
          <w:sz w:val="32"/>
          <w:szCs w:val="32"/>
          <w:lang w:eastAsia="hu-HU"/>
        </w:rPr>
      </w:pPr>
      <w:r>
        <w:rPr>
          <w:rFonts w:ascii="Cambria" w:eastAsia="Times New Roman" w:hAnsi="Cambria" w:cs="Times New Roman"/>
          <w:i/>
          <w:iCs/>
          <w:color w:val="4F81BD"/>
          <w:spacing w:val="15"/>
          <w:sz w:val="32"/>
          <w:szCs w:val="32"/>
          <w:lang w:eastAsia="hu-HU"/>
        </w:rPr>
        <w:t>Az egyetemi előrehaladás sikerességének összefüggése</w:t>
      </w:r>
      <w:r>
        <w:rPr>
          <w:rFonts w:ascii="Cambria" w:eastAsia="Times New Roman" w:hAnsi="Cambria" w:cs="Times New Roman"/>
          <w:i/>
          <w:iCs/>
          <w:color w:val="4F81BD"/>
          <w:spacing w:val="15"/>
          <w:sz w:val="32"/>
          <w:szCs w:val="32"/>
          <w:lang w:eastAsia="hu-HU"/>
        </w:rPr>
        <w:br/>
        <w:t>a matematika érettségi eredményeivel</w:t>
      </w:r>
    </w:p>
    <w:p w:rsidR="00287BBD" w:rsidRPr="000E40A9" w:rsidRDefault="0070229D" w:rsidP="00186379">
      <w:pPr>
        <w:pStyle w:val="Cmsor1"/>
      </w:pPr>
      <w:bookmarkStart w:id="0" w:name="_Toc503091293"/>
      <w:r w:rsidRPr="000E40A9">
        <w:t>Bevezetés</w:t>
      </w:r>
      <w:bookmarkEnd w:id="0"/>
    </w:p>
    <w:p w:rsidR="0070229D" w:rsidRDefault="00C038CA"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Magyarországon 2005 óta zajlik a középiskolai tanulmányok lezárásaként és a felsőoktatási rendszer felvételi vizsgájaként egyaránt funkcionáló kétszintű érettségi. </w:t>
      </w:r>
      <w:r w:rsidR="004A75AD">
        <w:rPr>
          <w:rFonts w:asciiTheme="majorHAnsi" w:eastAsia="Times New Roman" w:hAnsiTheme="majorHAnsi" w:cs="Times New Roman"/>
          <w:sz w:val="24"/>
          <w:szCs w:val="24"/>
          <w:lang w:eastAsia="hu-HU"/>
        </w:rPr>
        <w:t xml:space="preserve">A matematika érettségi vizsgák elemzésével Csapodi Csaba (2017.) foglalkozott részletesen PhD-disszertációjában. Jelen dolgozat a Csapodi tanár úr által vezetett kurzus keretében készült, és elsődleges célja annak bemutatása egy pilot-elemzés keretében, hogy a matematika érettségi eredményei milyen összefüggésben állnak az ELTE TTK matematika alapszakos hallgatóinak egyetemi sikerességével, előrehaladási, eredményeivel. </w:t>
      </w:r>
      <w:r w:rsidR="00DE0DEB">
        <w:rPr>
          <w:rFonts w:asciiTheme="majorHAnsi" w:eastAsia="Times New Roman" w:hAnsiTheme="majorHAnsi" w:cs="Times New Roman"/>
          <w:sz w:val="24"/>
          <w:szCs w:val="24"/>
          <w:lang w:eastAsia="hu-HU"/>
        </w:rPr>
        <w:t xml:space="preserve">A kurzus, illetve TDK-munka keretében a matematika érettségi, illetve az egyetemi kritériumteszt közötti összefüggést </w:t>
      </w:r>
      <w:proofErr w:type="spellStart"/>
      <w:r w:rsidR="00DE0DEB">
        <w:rPr>
          <w:rFonts w:asciiTheme="majorHAnsi" w:eastAsia="Times New Roman" w:hAnsiTheme="majorHAnsi" w:cs="Times New Roman"/>
          <w:sz w:val="24"/>
          <w:szCs w:val="24"/>
          <w:lang w:eastAsia="hu-HU"/>
        </w:rPr>
        <w:t>Jantner</w:t>
      </w:r>
      <w:proofErr w:type="spellEnd"/>
      <w:r w:rsidR="00DE0DEB">
        <w:rPr>
          <w:rFonts w:asciiTheme="majorHAnsi" w:eastAsia="Times New Roman" w:hAnsiTheme="majorHAnsi" w:cs="Times New Roman"/>
          <w:sz w:val="24"/>
          <w:szCs w:val="24"/>
          <w:lang w:eastAsia="hu-HU"/>
        </w:rPr>
        <w:t xml:space="preserve"> Anna vizsgálja.</w:t>
      </w:r>
    </w:p>
    <w:p w:rsidR="002F2FA7" w:rsidRDefault="00F60DA8"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Mivel a kétszintű érettségi bevezetésével a mérés automatikusan </w:t>
      </w:r>
      <w:r w:rsidR="00EE1D3F">
        <w:rPr>
          <w:rFonts w:asciiTheme="majorHAnsi" w:eastAsia="Times New Roman" w:hAnsiTheme="majorHAnsi" w:cs="Times New Roman"/>
          <w:sz w:val="24"/>
          <w:szCs w:val="24"/>
          <w:lang w:eastAsia="hu-HU"/>
        </w:rPr>
        <w:t xml:space="preserve">döntő szerephez jutott </w:t>
      </w:r>
      <w:r>
        <w:rPr>
          <w:rFonts w:asciiTheme="majorHAnsi" w:eastAsia="Times New Roman" w:hAnsiTheme="majorHAnsi" w:cs="Times New Roman"/>
          <w:sz w:val="24"/>
          <w:szCs w:val="24"/>
          <w:lang w:eastAsia="hu-HU"/>
        </w:rPr>
        <w:t xml:space="preserve">a felsőoktatási felvételi eljárásban számított pontszámok meghatározásában, mindenképpen szükségszerűnek tűnik annak vizsgálata, mennyiben képes az érettségi vizsga a felvételi funkciójának ellátására. </w:t>
      </w:r>
      <w:r w:rsidR="00FD72A9">
        <w:rPr>
          <w:rFonts w:asciiTheme="majorHAnsi" w:eastAsia="Times New Roman" w:hAnsiTheme="majorHAnsi" w:cs="Times New Roman"/>
          <w:sz w:val="24"/>
          <w:szCs w:val="24"/>
          <w:lang w:eastAsia="hu-HU"/>
        </w:rPr>
        <w:t xml:space="preserve">Alapvető olvasata volna a kétszintű érettséginek, hogy a középszintű vizsga a középiskolai tanulmányok lezárására szolgál, és a megfelelő szakterület felsőoktatási intézményeiben való továbbtanulásra az emelt szintű vizsga sikeres letétele jogosítja fel a diákot. Ezzel szemben említésre méltó körülmény, hogy a matematika alapszak esetében a 2016. évi általános felvételi eljárás volt az első, amely </w:t>
      </w:r>
      <w:r w:rsidR="00FD72A9" w:rsidRPr="00FD72A9">
        <w:rPr>
          <w:rFonts w:asciiTheme="majorHAnsi" w:eastAsia="Times New Roman" w:hAnsiTheme="majorHAnsi" w:cs="Times New Roman"/>
          <w:i/>
          <w:sz w:val="24"/>
          <w:szCs w:val="24"/>
          <w:lang w:eastAsia="hu-HU"/>
        </w:rPr>
        <w:t>egyáltalán</w:t>
      </w:r>
      <w:r w:rsidR="00FD72A9">
        <w:rPr>
          <w:rFonts w:asciiTheme="majorHAnsi" w:eastAsia="Times New Roman" w:hAnsiTheme="majorHAnsi" w:cs="Times New Roman"/>
          <w:sz w:val="24"/>
          <w:szCs w:val="24"/>
          <w:lang w:eastAsia="hu-HU"/>
        </w:rPr>
        <w:t xml:space="preserve"> emelt szintű érettségihez kötötte a felvétel lehetőségét, azonban még a jelenlegi, 2018-as tájékoztató szerint sem előírás éppen matematika tárgyból rendelkezni az emelt szintű vizsgával a szakra való felvételhez.</w:t>
      </w:r>
    </w:p>
    <w:p w:rsidR="00DE0DEB" w:rsidRDefault="00EE1D3F"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matematika tantárgyra vonatkozóan ne</w:t>
      </w:r>
      <w:r w:rsidR="002F2FA7">
        <w:rPr>
          <w:rFonts w:asciiTheme="majorHAnsi" w:eastAsia="Times New Roman" w:hAnsiTheme="majorHAnsi" w:cs="Times New Roman"/>
          <w:sz w:val="24"/>
          <w:szCs w:val="24"/>
          <w:lang w:eastAsia="hu-HU"/>
        </w:rPr>
        <w:t xml:space="preserve">m ismert olyan kutatás, amely az érettségi vizsga prediktív validitását </w:t>
      </w:r>
      <w:r>
        <w:rPr>
          <w:rFonts w:asciiTheme="majorHAnsi" w:eastAsia="Times New Roman" w:hAnsiTheme="majorHAnsi" w:cs="Times New Roman"/>
          <w:sz w:val="24"/>
          <w:szCs w:val="24"/>
          <w:lang w:eastAsia="hu-HU"/>
        </w:rPr>
        <w:t xml:space="preserve">korábban átfogóan vizsgálta volna, továbbá az érettségi </w:t>
      </w:r>
      <w:proofErr w:type="gramStart"/>
      <w:r w:rsidR="002F2FA7">
        <w:rPr>
          <w:rFonts w:asciiTheme="majorHAnsi" w:eastAsia="Times New Roman" w:hAnsiTheme="majorHAnsi" w:cs="Times New Roman"/>
          <w:sz w:val="24"/>
          <w:szCs w:val="24"/>
          <w:lang w:eastAsia="hu-HU"/>
        </w:rPr>
        <w:t>ezen</w:t>
      </w:r>
      <w:proofErr w:type="gramEnd"/>
      <w:r w:rsidR="002F2FA7">
        <w:rPr>
          <w:rFonts w:asciiTheme="majorHAnsi" w:eastAsia="Times New Roman" w:hAnsiTheme="majorHAnsi" w:cs="Times New Roman"/>
          <w:sz w:val="24"/>
          <w:szCs w:val="24"/>
          <w:lang w:eastAsia="hu-HU"/>
        </w:rPr>
        <w:t xml:space="preserve"> jelenség </w:t>
      </w:r>
      <w:r>
        <w:rPr>
          <w:rFonts w:asciiTheme="majorHAnsi" w:eastAsia="Times New Roman" w:hAnsiTheme="majorHAnsi" w:cs="Times New Roman"/>
          <w:sz w:val="24"/>
          <w:szCs w:val="24"/>
          <w:lang w:eastAsia="hu-HU"/>
        </w:rPr>
        <w:t>meghatározásakor az egyetemi sikeresség, „beválás” skálájának definiálása önáll</w:t>
      </w:r>
      <w:r w:rsidR="00F94262">
        <w:rPr>
          <w:rFonts w:asciiTheme="majorHAnsi" w:eastAsia="Times New Roman" w:hAnsiTheme="majorHAnsi" w:cs="Times New Roman"/>
          <w:sz w:val="24"/>
          <w:szCs w:val="24"/>
          <w:lang w:eastAsia="hu-HU"/>
        </w:rPr>
        <w:t>ó módszertani problémát vethet fel, mivel a felsőoktatásban tanulmányiátlag-jellegű mutatószámból is többet használnak párhuzamosan.</w:t>
      </w:r>
    </w:p>
    <w:p w:rsidR="002F2FA7" w:rsidRDefault="00136EE0"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Csapodi tanár úr javaslatára és tanácsai, segítsége mentén ezért elvégeztem az ELTE TTK matematika alapszakára a 2013/14. tanév őszi félévében felvett hallgatók eredményeinek vizsgálatát.</w:t>
      </w:r>
      <w:r w:rsidR="00B814B1">
        <w:rPr>
          <w:rFonts w:asciiTheme="majorHAnsi" w:eastAsia="Times New Roman" w:hAnsiTheme="majorHAnsi" w:cs="Times New Roman"/>
          <w:sz w:val="24"/>
          <w:szCs w:val="24"/>
          <w:lang w:eastAsia="hu-HU"/>
        </w:rPr>
        <w:t xml:space="preserve"> Mivel 2013-ban semmilyen </w:t>
      </w:r>
      <w:r w:rsidR="00A80ED2">
        <w:rPr>
          <w:rFonts w:asciiTheme="majorHAnsi" w:eastAsia="Times New Roman" w:hAnsiTheme="majorHAnsi" w:cs="Times New Roman"/>
          <w:sz w:val="24"/>
          <w:szCs w:val="24"/>
          <w:lang w:eastAsia="hu-HU"/>
        </w:rPr>
        <w:t xml:space="preserve">szigorú </w:t>
      </w:r>
      <w:r w:rsidR="00B814B1">
        <w:rPr>
          <w:rFonts w:asciiTheme="majorHAnsi" w:eastAsia="Times New Roman" w:hAnsiTheme="majorHAnsi" w:cs="Times New Roman"/>
          <w:sz w:val="24"/>
          <w:szCs w:val="24"/>
          <w:lang w:eastAsia="hu-HU"/>
        </w:rPr>
        <w:t xml:space="preserve">megkötés nem volt </w:t>
      </w:r>
      <w:r w:rsidR="00A80ED2">
        <w:rPr>
          <w:rFonts w:asciiTheme="majorHAnsi" w:eastAsia="Times New Roman" w:hAnsiTheme="majorHAnsi" w:cs="Times New Roman"/>
          <w:sz w:val="24"/>
          <w:szCs w:val="24"/>
          <w:lang w:eastAsia="hu-HU"/>
        </w:rPr>
        <w:t>érvényben a felvételi eljárásban rendelkezők számára a matematika érettségi meglétén kívül, így a kutatás célja annak vizsgálata, összességében a matematika érettségi eredmények milyen kapcsolatban állnak az egyetemi előrehaladás sikerességével, illetve ezen belül a közép- és emelt szintű eredménnyel rendelkező hallgatók körében kimutatható-e szignifikáns eltérés.</w:t>
      </w:r>
    </w:p>
    <w:p w:rsidR="00A80ED2" w:rsidRDefault="00FC613C"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kutatás kezdeti hipotézisei a következők voltak:</w:t>
      </w:r>
    </w:p>
    <w:p w:rsidR="00FC613C" w:rsidRDefault="00FC613C" w:rsidP="00FC613C">
      <w:pPr>
        <w:spacing w:after="0" w:line="360" w:lineRule="auto"/>
        <w:ind w:left="1418" w:hanging="709"/>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1a.</w:t>
      </w:r>
      <w:r>
        <w:rPr>
          <w:rFonts w:asciiTheme="majorHAnsi" w:eastAsia="Times New Roman" w:hAnsiTheme="majorHAnsi" w:cs="Times New Roman"/>
          <w:sz w:val="24"/>
          <w:szCs w:val="24"/>
          <w:lang w:eastAsia="hu-HU"/>
        </w:rPr>
        <w:tab/>
        <w:t>Az emelt szinten érettségizők sikeresebben képesek teljesíteni a kritériumtesztet</w:t>
      </w:r>
    </w:p>
    <w:p w:rsidR="00FC613C" w:rsidRDefault="00FC613C" w:rsidP="00FC613C">
      <w:pPr>
        <w:spacing w:after="0" w:line="360" w:lineRule="auto"/>
        <w:ind w:left="1418" w:hanging="709"/>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1b.</w:t>
      </w:r>
      <w:r>
        <w:rPr>
          <w:rFonts w:asciiTheme="majorHAnsi" w:eastAsia="Times New Roman" w:hAnsiTheme="majorHAnsi" w:cs="Times New Roman"/>
          <w:sz w:val="24"/>
          <w:szCs w:val="24"/>
          <w:lang w:eastAsia="hu-HU"/>
        </w:rPr>
        <w:tab/>
        <w:t>Az emelt szinten érettségizők eredményesebbek az egyetemi tanulmányaikban</w:t>
      </w:r>
    </w:p>
    <w:p w:rsidR="00FC613C" w:rsidRDefault="00FC613C" w:rsidP="00FC613C">
      <w:pPr>
        <w:spacing w:after="240" w:line="360" w:lineRule="auto"/>
        <w:ind w:left="1418" w:hanging="709"/>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2.</w:t>
      </w:r>
      <w:r>
        <w:rPr>
          <w:rFonts w:asciiTheme="majorHAnsi" w:eastAsia="Times New Roman" w:hAnsiTheme="majorHAnsi" w:cs="Times New Roman"/>
          <w:sz w:val="24"/>
          <w:szCs w:val="24"/>
          <w:lang w:eastAsia="hu-HU"/>
        </w:rPr>
        <w:tab/>
        <w:t>Az érettségi szintjétől függetlenül gyenge kapcsolat áll fenn a százalékos eredmény és az egyetemi sikeresség mutatója között</w:t>
      </w:r>
    </w:p>
    <w:p w:rsidR="00FC613C" w:rsidRPr="00186379" w:rsidRDefault="00DB6119" w:rsidP="00186379">
      <w:pPr>
        <w:pStyle w:val="Cmsor1"/>
      </w:pPr>
      <w:bookmarkStart w:id="1" w:name="_Toc503091294"/>
      <w:r w:rsidRPr="00186379">
        <w:t>Anyag és módszer</w:t>
      </w:r>
      <w:bookmarkEnd w:id="1"/>
    </w:p>
    <w:p w:rsidR="00186379" w:rsidRPr="00186379" w:rsidRDefault="00186379" w:rsidP="003F7DAA">
      <w:pPr>
        <w:pStyle w:val="Cmsor2"/>
      </w:pPr>
      <w:bookmarkStart w:id="2" w:name="_Toc503091295"/>
      <w:r w:rsidRPr="00186379">
        <w:t xml:space="preserve">Elméleti, </w:t>
      </w:r>
      <w:r w:rsidR="00DC1836">
        <w:t>szakirodalmi</w:t>
      </w:r>
      <w:r w:rsidRPr="00186379">
        <w:t xml:space="preserve"> háttér</w:t>
      </w:r>
      <w:bookmarkEnd w:id="2"/>
    </w:p>
    <w:p w:rsidR="00DB6119" w:rsidRDefault="003C7B5B"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Prediktív validitásnak valamely teszt azon mutatóját nevezik, amely megmutatja, a teszten elért eredmény milyen mértékben képes előre</w:t>
      </w:r>
      <w:r w:rsidR="00891F3B">
        <w:rPr>
          <w:rFonts w:asciiTheme="majorHAnsi" w:eastAsia="Times New Roman" w:hAnsiTheme="majorHAnsi" w:cs="Times New Roman"/>
          <w:sz w:val="24"/>
          <w:szCs w:val="24"/>
          <w:lang w:eastAsia="hu-HU"/>
        </w:rPr>
        <w:t xml:space="preserve"> </w:t>
      </w:r>
      <w:r>
        <w:rPr>
          <w:rFonts w:asciiTheme="majorHAnsi" w:eastAsia="Times New Roman" w:hAnsiTheme="majorHAnsi" w:cs="Times New Roman"/>
          <w:sz w:val="24"/>
          <w:szCs w:val="24"/>
          <w:lang w:eastAsia="hu-HU"/>
        </w:rPr>
        <w:t xml:space="preserve">jelezni a tesztet kitöltők későbbi eredményességét valamely szituációban. </w:t>
      </w:r>
      <w:r w:rsidR="00097EAB">
        <w:rPr>
          <w:rFonts w:asciiTheme="majorHAnsi" w:eastAsia="Times New Roman" w:hAnsiTheme="majorHAnsi" w:cs="Times New Roman"/>
          <w:sz w:val="24"/>
          <w:szCs w:val="24"/>
          <w:lang w:eastAsia="hu-HU"/>
        </w:rPr>
        <w:t xml:space="preserve">Természetszerűen ez a mutatószám kiemelten fontos felvételi tesztek esetében. </w:t>
      </w:r>
      <w:r w:rsidR="00DF43A4">
        <w:rPr>
          <w:rFonts w:asciiTheme="majorHAnsi" w:eastAsia="Times New Roman" w:hAnsiTheme="majorHAnsi" w:cs="Times New Roman"/>
          <w:sz w:val="24"/>
          <w:szCs w:val="24"/>
          <w:lang w:eastAsia="hu-HU"/>
        </w:rPr>
        <w:t xml:space="preserve">A prediktív validitás meghatározásának lehetséges módja a vizsgált teszt ismételt kitöltésének eredménye és az egyidejű eredményesség közötti összefüggés vizsgálata. </w:t>
      </w:r>
      <w:r w:rsidR="00640177">
        <w:rPr>
          <w:rFonts w:asciiTheme="majorHAnsi" w:eastAsia="Times New Roman" w:hAnsiTheme="majorHAnsi" w:cs="Times New Roman"/>
          <w:sz w:val="24"/>
          <w:szCs w:val="24"/>
          <w:lang w:eastAsia="hu-HU"/>
        </w:rPr>
        <w:t>Amennyiben a teszt prediktív validitása jó, úgy elvárható</w:t>
      </w:r>
      <w:r w:rsidR="00891F3B">
        <w:rPr>
          <w:rFonts w:asciiTheme="majorHAnsi" w:eastAsia="Times New Roman" w:hAnsiTheme="majorHAnsi" w:cs="Times New Roman"/>
          <w:sz w:val="24"/>
          <w:szCs w:val="24"/>
          <w:lang w:eastAsia="hu-HU"/>
        </w:rPr>
        <w:t>,</w:t>
      </w:r>
      <w:r w:rsidR="00640177">
        <w:rPr>
          <w:rFonts w:asciiTheme="majorHAnsi" w:eastAsia="Times New Roman" w:hAnsiTheme="majorHAnsi" w:cs="Times New Roman"/>
          <w:sz w:val="24"/>
          <w:szCs w:val="24"/>
          <w:lang w:eastAsia="hu-HU"/>
        </w:rPr>
        <w:t xml:space="preserve"> hogy a két mutató kapcsolat között szignifikáns kapcsolat jelentkezzen. </w:t>
      </w:r>
      <w:r w:rsidR="00891F3B">
        <w:rPr>
          <w:rFonts w:asciiTheme="majorHAnsi" w:eastAsia="Times New Roman" w:hAnsiTheme="majorHAnsi" w:cs="Times New Roman"/>
          <w:sz w:val="24"/>
          <w:szCs w:val="24"/>
          <w:lang w:eastAsia="hu-HU"/>
        </w:rPr>
        <w:t>Összetettebb elemzés valósítható meg, amennyiben az eredeti tesztkitöltéstől kezdve folyamatosan nyomon követhető a kitöltők teljesítménye. Ebben az esetben a teszten felvett eredményeket ténylegesen a későbbi eredményességgel lehet összehasonlítani. A longitudinális vizsgálat elvégzése összetettebb, időigényesebb, azonban az alkalmazásával nyerhető eredmények a korábbi kutatások szerint megbízhatóbbak. (</w:t>
      </w:r>
      <w:proofErr w:type="spellStart"/>
      <w:r w:rsidR="00891F3B">
        <w:rPr>
          <w:rFonts w:asciiTheme="majorHAnsi" w:eastAsia="Times New Roman" w:hAnsiTheme="majorHAnsi" w:cs="Times New Roman"/>
          <w:sz w:val="24"/>
          <w:szCs w:val="24"/>
          <w:lang w:eastAsia="hu-HU"/>
        </w:rPr>
        <w:t>Badó</w:t>
      </w:r>
      <w:proofErr w:type="spellEnd"/>
      <w:r w:rsidR="00891F3B">
        <w:rPr>
          <w:rFonts w:asciiTheme="majorHAnsi" w:eastAsia="Times New Roman" w:hAnsiTheme="majorHAnsi" w:cs="Times New Roman"/>
          <w:sz w:val="24"/>
          <w:szCs w:val="24"/>
          <w:lang w:eastAsia="hu-HU"/>
        </w:rPr>
        <w:t xml:space="preserve"> &amp; Józsa, 2017.)</w:t>
      </w:r>
    </w:p>
    <w:p w:rsidR="00891F3B" w:rsidRDefault="005D3DD5"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A diákok középiskolai pályafutásával ellentétben az egyetemi hallgatók képzésébe nincsenek olyan egységes mérőeszközök beépítve, mint például az országos kompetenciamérés, továbbá az egyetemeken jellemző egyéni tantervek alkalmazása jelentős kihívást jelent az együtt felvett csoport tagjai esetében a későbbi eredmények összevetésében (eltérő félévben, eltérő oktatónál teljesítik esetleg az azonos nevű tárgyat is). Ezen túlmenően a képzés során jelentős a lemorzsolódás aránya, a szituációra jellemző, hogy az ELTE TTK hallgatói közül alapszakon és a mintatanterv által előírt időben diplomát szerző hallgatók részaránya a 25-30%-ot jellemzően nem haladja meg.</w:t>
      </w:r>
    </w:p>
    <w:p w:rsidR="00833B52" w:rsidRDefault="00D9386B"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További különbség lehet, hogy míg az általános- és középiskolákban végzett kutatások (</w:t>
      </w:r>
      <w:proofErr w:type="spellStart"/>
      <w:r>
        <w:rPr>
          <w:rFonts w:asciiTheme="majorHAnsi" w:eastAsia="Times New Roman" w:hAnsiTheme="majorHAnsi" w:cs="Times New Roman"/>
          <w:sz w:val="24"/>
          <w:szCs w:val="24"/>
          <w:lang w:eastAsia="hu-HU"/>
        </w:rPr>
        <w:t>Badó</w:t>
      </w:r>
      <w:proofErr w:type="spellEnd"/>
      <w:r>
        <w:rPr>
          <w:rFonts w:asciiTheme="majorHAnsi" w:eastAsia="Times New Roman" w:hAnsiTheme="majorHAnsi" w:cs="Times New Roman"/>
          <w:sz w:val="24"/>
          <w:szCs w:val="24"/>
          <w:lang w:eastAsia="hu-HU"/>
        </w:rPr>
        <w:t xml:space="preserve"> &amp; Józsa, 2017.) közepesen erős korrelációt mutatnak a például a nyolc évfolyamos gimnáziumok számára szervezett felvételi vizsgák eredményei, illetve a diákok előrehaladása között még az érettségi előtti teszten is, addig az egyetemeken jellemzően kritériumteszteket és felzárkóztató tárgyakat szerveznek. Az egyetem által elvárt tudásszintet a felvételkor nem teljesítő elsőéves hallgatók aránya igen jelentős az ELTE TTK matematika alapszakán is, innen származik a kutatás második hipotézise, mely szerint a matematika érettségi százalékos eredményei nem jelzik jól előre az egyetemi elvárásoknak való megfelelést.</w:t>
      </w:r>
    </w:p>
    <w:p w:rsidR="00D9386B" w:rsidRDefault="00691FE1"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előbbieket figyelembe véve tehát önálló elemzés témáját képezi az érettségi eredmények, illetve a matematika kritériumteszt közötti összefüggés vizsgálata. Jelen dolgozat keretében a felvett hallgatók egyetemi indexkivonatai alapján képzett mutatószámok alapján definiált kumulált eredményességi index szerinti rangsorban elfoglalt pozíció került összehasonlításra az érettségi eredményekkel.</w:t>
      </w:r>
    </w:p>
    <w:p w:rsidR="00691FE1" w:rsidRDefault="00BE7BA9" w:rsidP="003F7DAA">
      <w:pPr>
        <w:pStyle w:val="Cmsor2"/>
      </w:pPr>
      <w:bookmarkStart w:id="3" w:name="_Toc503091296"/>
      <w:r>
        <w:t>Az elemzésbe vont adatok</w:t>
      </w:r>
      <w:bookmarkEnd w:id="3"/>
    </w:p>
    <w:p w:rsidR="00BE7BA9" w:rsidRDefault="00D541BD"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elemzés során a Csapodi tanár úr által rendelkezésemre bocsátott, anonimizált adatokkal dolgoztam, melyek a 2013/14. tanév őszi félévében az ELTE TTK matematika alapszakára felvételt nyert hallgatók érettségi eredményeit, illetve a hallgatók által az egyetemi képzés során az egyes tárgyakból szerzett érdemjegyeket tartalmazták.</w:t>
      </w:r>
    </w:p>
    <w:p w:rsidR="00D541BD" w:rsidRDefault="00AD3825"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megkapott adatok táblázatkezelő programban kerültek eltárolásra, az érettségi eredmények előzetes feldolgozása pedig már megtörtént, így közvetlenül </w:t>
      </w:r>
      <w:r>
        <w:rPr>
          <w:rFonts w:asciiTheme="majorHAnsi" w:eastAsia="Times New Roman" w:hAnsiTheme="majorHAnsi" w:cs="Times New Roman"/>
          <w:sz w:val="24"/>
          <w:szCs w:val="24"/>
          <w:lang w:eastAsia="hu-HU"/>
        </w:rPr>
        <w:lastRenderedPageBreak/>
        <w:t>rendelkezésemre állt minden hallgató esetében a matematika érettségi százalékos eredménye, szintje / típusa (voltak még a korábbi rendszerben érettségizett jelentkezők is), az érettségi letételének éve, illetve a jelentkezők érettségi-átlageredményei.</w:t>
      </w:r>
    </w:p>
    <w:p w:rsidR="00523BA0" w:rsidRDefault="00523BA0"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előzetes feldolgozás után 138 egyedi hallgató adatait volt lehetséges vizsgálni, közülük 32 fő középszintű, 97 fő emelt szintű matematika érettségivel rendelkezett; régi rendszerű vizsgát 5 fő tett, illetve az adathiány 4 fő volt.</w:t>
      </w:r>
      <w:r w:rsidR="006E0FF6">
        <w:rPr>
          <w:rFonts w:asciiTheme="majorHAnsi" w:eastAsia="Times New Roman" w:hAnsiTheme="majorHAnsi" w:cs="Times New Roman"/>
          <w:sz w:val="24"/>
          <w:szCs w:val="24"/>
          <w:lang w:eastAsia="hu-HU"/>
        </w:rPr>
        <w:t xml:space="preserve"> (1. ábra)</w:t>
      </w:r>
    </w:p>
    <w:p w:rsidR="0043315B" w:rsidRPr="0043315B" w:rsidRDefault="00523BA0" w:rsidP="0043315B">
      <w:pPr>
        <w:pStyle w:val="Kpalrs"/>
        <w:spacing w:after="0"/>
        <w:rPr>
          <w:rFonts w:asciiTheme="majorHAnsi" w:hAnsiTheme="majorHAnsi"/>
          <w:b w:val="0"/>
          <w:bCs w:val="0"/>
          <w:color w:val="auto"/>
          <w:sz w:val="24"/>
          <w:szCs w:val="24"/>
        </w:rPr>
      </w:pPr>
      <w:r w:rsidRPr="0043315B">
        <w:rPr>
          <w:rFonts w:asciiTheme="majorHAnsi" w:hAnsiTheme="majorHAnsi"/>
          <w:b w:val="0"/>
          <w:bCs w:val="0"/>
          <w:color w:val="auto"/>
          <w:sz w:val="24"/>
          <w:szCs w:val="24"/>
        </w:rPr>
        <w:drawing>
          <wp:inline distT="0" distB="0" distL="0" distR="0" wp14:anchorId="147FA9B6" wp14:editId="009E73A7">
            <wp:extent cx="4572000" cy="27432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3BA0" w:rsidRPr="00FD6F6B" w:rsidRDefault="00437D53" w:rsidP="00FD6F6B">
      <w:pPr>
        <w:pStyle w:val="Kpalrs"/>
      </w:pPr>
      <w:r w:rsidRPr="00FD6F6B">
        <w:fldChar w:fldCharType="begin"/>
      </w:r>
      <w:r w:rsidRPr="00FD6F6B">
        <w:instrText xml:space="preserve"> SEQ ábra \* ARABIC </w:instrText>
      </w:r>
      <w:r w:rsidRPr="00FD6F6B">
        <w:fldChar w:fldCharType="separate"/>
      </w:r>
      <w:bookmarkStart w:id="4" w:name="_Toc503091139"/>
      <w:r w:rsidR="009F3A94">
        <w:rPr>
          <w:noProof/>
        </w:rPr>
        <w:t>1</w:t>
      </w:r>
      <w:r w:rsidRPr="00FD6F6B">
        <w:fldChar w:fldCharType="end"/>
      </w:r>
      <w:r w:rsidRPr="00FD6F6B">
        <w:t xml:space="preserve">. ábra – </w:t>
      </w:r>
      <w:proofErr w:type="gramStart"/>
      <w:r w:rsidRPr="00FD6F6B">
        <w:t>A</w:t>
      </w:r>
      <w:proofErr w:type="gramEnd"/>
      <w:r w:rsidRPr="00FD6F6B">
        <w:t xml:space="preserve"> minta megoszlása az érettségizők által letett vizsga típusa szerint</w:t>
      </w:r>
      <w:bookmarkEnd w:id="4"/>
    </w:p>
    <w:p w:rsidR="00523BA0" w:rsidRDefault="00A41A51"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minta a hallgatók által letett érettségi vizsga időbeli megoszlása tekintetében a 2013. év hasonlóan domináns (64,5%), mint az előző esetben az emelt szintű érettségi. </w:t>
      </w:r>
      <w:r w:rsidR="006E0FF6">
        <w:rPr>
          <w:rFonts w:asciiTheme="majorHAnsi" w:eastAsia="Times New Roman" w:hAnsiTheme="majorHAnsi" w:cs="Times New Roman"/>
          <w:sz w:val="24"/>
          <w:szCs w:val="24"/>
          <w:lang w:eastAsia="hu-HU"/>
        </w:rPr>
        <w:t xml:space="preserve">(2. ábra) </w:t>
      </w:r>
      <w:proofErr w:type="gramStart"/>
      <w:r>
        <w:rPr>
          <w:rFonts w:asciiTheme="majorHAnsi" w:eastAsia="Times New Roman" w:hAnsiTheme="majorHAnsi" w:cs="Times New Roman"/>
          <w:sz w:val="24"/>
          <w:szCs w:val="24"/>
          <w:lang w:eastAsia="hu-HU"/>
        </w:rPr>
        <w:t>A</w:t>
      </w:r>
      <w:proofErr w:type="gramEnd"/>
      <w:r>
        <w:rPr>
          <w:rFonts w:asciiTheme="majorHAnsi" w:eastAsia="Times New Roman" w:hAnsiTheme="majorHAnsi" w:cs="Times New Roman"/>
          <w:sz w:val="24"/>
          <w:szCs w:val="24"/>
          <w:lang w:eastAsia="hu-HU"/>
        </w:rPr>
        <w:t xml:space="preserve"> 2005 előtt érettségizett 6 fő közül egy fő matematikából és informatikából rendelkezik kétszintű érettségi eredményekkel. Megállapítható továbbá, hogy a 2013-ban érettségizettek esetében az emelt szintű matematika érettségivel felvettek aránya 84,3%, </w:t>
      </w:r>
      <w:r w:rsidR="00FD6F6B">
        <w:rPr>
          <w:rFonts w:asciiTheme="majorHAnsi" w:eastAsia="Times New Roman" w:hAnsiTheme="majorHAnsi" w:cs="Times New Roman"/>
          <w:sz w:val="24"/>
          <w:szCs w:val="24"/>
          <w:lang w:eastAsia="hu-HU"/>
        </w:rPr>
        <w:t>a 2012-ben érettségizettek között pedig 58,8%.</w:t>
      </w:r>
    </w:p>
    <w:p w:rsidR="000C3AA4" w:rsidRPr="001D0504" w:rsidRDefault="000C3AA4"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kétszintű rendszerben vizsgát tett 129 fő közül 90% felett</w:t>
      </w:r>
      <w:r w:rsidR="00621C0E">
        <w:rPr>
          <w:rFonts w:asciiTheme="majorHAnsi" w:eastAsia="Times New Roman" w:hAnsiTheme="majorHAnsi" w:cs="Times New Roman"/>
          <w:sz w:val="24"/>
          <w:szCs w:val="24"/>
          <w:lang w:eastAsia="hu-HU"/>
        </w:rPr>
        <w:t>i érettségi átlageredménnyel rendelkezik</w:t>
      </w:r>
      <w:r>
        <w:rPr>
          <w:rFonts w:asciiTheme="majorHAnsi" w:eastAsia="Times New Roman" w:hAnsiTheme="majorHAnsi" w:cs="Times New Roman"/>
          <w:sz w:val="24"/>
          <w:szCs w:val="24"/>
          <w:lang w:eastAsia="hu-HU"/>
        </w:rPr>
        <w:t xml:space="preserve"> </w:t>
      </w:r>
      <w:r w:rsidR="00621C0E">
        <w:rPr>
          <w:rFonts w:asciiTheme="majorHAnsi" w:eastAsia="Times New Roman" w:hAnsiTheme="majorHAnsi" w:cs="Times New Roman"/>
          <w:sz w:val="24"/>
          <w:szCs w:val="24"/>
          <w:lang w:eastAsia="hu-HU"/>
        </w:rPr>
        <w:t xml:space="preserve">22 fő, további 5 százalékonként csökkenő sávokban közelítőleg egyenlő számú vizsgázó helyezkedik el, a leggyengébbek létszáma, átlagosan 70% alatti </w:t>
      </w:r>
      <w:r w:rsidR="00621C0E" w:rsidRPr="001D0504">
        <w:rPr>
          <w:rFonts w:asciiTheme="majorHAnsi" w:eastAsia="Times New Roman" w:hAnsiTheme="majorHAnsi" w:cs="Times New Roman"/>
          <w:sz w:val="24"/>
          <w:szCs w:val="24"/>
          <w:lang w:eastAsia="hu-HU"/>
        </w:rPr>
        <w:t>teljesítménnyel 13 fő.</w:t>
      </w:r>
    </w:p>
    <w:tbl>
      <w:tblPr>
        <w:tblStyle w:val="Vilgostnus"/>
        <w:tblW w:w="8502" w:type="dxa"/>
        <w:jc w:val="center"/>
        <w:tblLook w:val="04A0" w:firstRow="1" w:lastRow="0" w:firstColumn="1" w:lastColumn="0" w:noHBand="0" w:noVBand="1"/>
      </w:tblPr>
      <w:tblGrid>
        <w:gridCol w:w="1417"/>
        <w:gridCol w:w="1417"/>
        <w:gridCol w:w="1417"/>
        <w:gridCol w:w="1417"/>
        <w:gridCol w:w="1417"/>
        <w:gridCol w:w="1417"/>
      </w:tblGrid>
      <w:tr w:rsidR="00621C0E" w:rsidRPr="001D0504" w:rsidTr="00621C0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rsidR="00621C0E" w:rsidRPr="001D0504" w:rsidRDefault="00621C0E" w:rsidP="00621C0E">
            <w:pPr>
              <w:jc w:val="center"/>
              <w:rPr>
                <w:rFonts w:asciiTheme="majorHAnsi" w:eastAsia="Times New Roman" w:hAnsiTheme="majorHAnsi" w:cs="Times New Roman"/>
                <w:b w:val="0"/>
                <w:i/>
                <w:color w:val="000000"/>
                <w:lang w:eastAsia="hu-HU"/>
              </w:rPr>
            </w:pPr>
            <w:r w:rsidRPr="001D0504">
              <w:rPr>
                <w:rFonts w:asciiTheme="majorHAnsi" w:eastAsia="Times New Roman" w:hAnsiTheme="majorHAnsi" w:cs="Times New Roman"/>
                <w:b w:val="0"/>
                <w:i/>
                <w:color w:val="000000"/>
                <w:lang w:eastAsia="hu-HU"/>
              </w:rPr>
              <w:t>70% alatt</w:t>
            </w:r>
          </w:p>
        </w:tc>
        <w:tc>
          <w:tcPr>
            <w:tcW w:w="1417" w:type="dxa"/>
            <w:noWrap/>
            <w:hideMark/>
          </w:tcPr>
          <w:p w:rsidR="00621C0E" w:rsidRPr="001D0504" w:rsidRDefault="00621C0E" w:rsidP="00621C0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i/>
                <w:color w:val="000000"/>
                <w:lang w:eastAsia="hu-HU"/>
              </w:rPr>
            </w:pPr>
            <w:r w:rsidRPr="001D0504">
              <w:rPr>
                <w:rFonts w:asciiTheme="majorHAnsi" w:eastAsia="Times New Roman" w:hAnsiTheme="majorHAnsi" w:cs="Times New Roman"/>
                <w:b w:val="0"/>
                <w:i/>
                <w:color w:val="000000"/>
                <w:lang w:eastAsia="hu-HU"/>
              </w:rPr>
              <w:t>70-75%</w:t>
            </w:r>
          </w:p>
        </w:tc>
        <w:tc>
          <w:tcPr>
            <w:tcW w:w="1417" w:type="dxa"/>
            <w:noWrap/>
            <w:hideMark/>
          </w:tcPr>
          <w:p w:rsidR="00621C0E" w:rsidRPr="001D0504" w:rsidRDefault="00621C0E" w:rsidP="00621C0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i/>
                <w:color w:val="000000"/>
                <w:lang w:eastAsia="hu-HU"/>
              </w:rPr>
            </w:pPr>
            <w:r w:rsidRPr="001D0504">
              <w:rPr>
                <w:rFonts w:asciiTheme="majorHAnsi" w:eastAsia="Times New Roman" w:hAnsiTheme="majorHAnsi" w:cs="Times New Roman"/>
                <w:b w:val="0"/>
                <w:i/>
                <w:color w:val="000000"/>
                <w:lang w:eastAsia="hu-HU"/>
              </w:rPr>
              <w:t>75-80%</w:t>
            </w:r>
          </w:p>
        </w:tc>
        <w:tc>
          <w:tcPr>
            <w:tcW w:w="1417" w:type="dxa"/>
            <w:noWrap/>
            <w:hideMark/>
          </w:tcPr>
          <w:p w:rsidR="00621C0E" w:rsidRPr="001D0504" w:rsidRDefault="00621C0E" w:rsidP="00621C0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i/>
                <w:color w:val="000000"/>
                <w:lang w:eastAsia="hu-HU"/>
              </w:rPr>
            </w:pPr>
            <w:r w:rsidRPr="001D0504">
              <w:rPr>
                <w:rFonts w:asciiTheme="majorHAnsi" w:eastAsia="Times New Roman" w:hAnsiTheme="majorHAnsi" w:cs="Times New Roman"/>
                <w:b w:val="0"/>
                <w:i/>
                <w:color w:val="000000"/>
                <w:lang w:eastAsia="hu-HU"/>
              </w:rPr>
              <w:t>80-85%</w:t>
            </w:r>
          </w:p>
        </w:tc>
        <w:tc>
          <w:tcPr>
            <w:tcW w:w="1417" w:type="dxa"/>
            <w:noWrap/>
            <w:hideMark/>
          </w:tcPr>
          <w:p w:rsidR="00621C0E" w:rsidRPr="001D0504" w:rsidRDefault="00621C0E" w:rsidP="00621C0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i/>
                <w:color w:val="000000"/>
                <w:lang w:eastAsia="hu-HU"/>
              </w:rPr>
            </w:pPr>
            <w:r w:rsidRPr="001D0504">
              <w:rPr>
                <w:rFonts w:asciiTheme="majorHAnsi" w:eastAsia="Times New Roman" w:hAnsiTheme="majorHAnsi" w:cs="Times New Roman"/>
                <w:b w:val="0"/>
                <w:i/>
                <w:color w:val="000000"/>
                <w:lang w:eastAsia="hu-HU"/>
              </w:rPr>
              <w:t>85-90%</w:t>
            </w:r>
          </w:p>
        </w:tc>
        <w:tc>
          <w:tcPr>
            <w:tcW w:w="1417" w:type="dxa"/>
            <w:noWrap/>
            <w:hideMark/>
          </w:tcPr>
          <w:p w:rsidR="00621C0E" w:rsidRPr="001D0504" w:rsidRDefault="00621C0E" w:rsidP="00621C0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i/>
                <w:color w:val="000000"/>
                <w:lang w:eastAsia="hu-HU"/>
              </w:rPr>
            </w:pPr>
            <w:r w:rsidRPr="001D0504">
              <w:rPr>
                <w:rFonts w:asciiTheme="majorHAnsi" w:eastAsia="Times New Roman" w:hAnsiTheme="majorHAnsi" w:cs="Times New Roman"/>
                <w:b w:val="0"/>
                <w:i/>
                <w:color w:val="000000"/>
                <w:lang w:eastAsia="hu-HU"/>
              </w:rPr>
              <w:t>90% felett</w:t>
            </w:r>
          </w:p>
        </w:tc>
      </w:tr>
      <w:tr w:rsidR="00621C0E" w:rsidRPr="001D0504" w:rsidTr="00621C0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rsidR="00621C0E" w:rsidRPr="001D0504" w:rsidRDefault="00621C0E" w:rsidP="00621C0E">
            <w:pPr>
              <w:jc w:val="center"/>
              <w:rPr>
                <w:rFonts w:asciiTheme="majorHAnsi" w:eastAsia="Times New Roman" w:hAnsiTheme="majorHAnsi" w:cs="Times New Roman"/>
                <w:color w:val="000000"/>
                <w:lang w:eastAsia="hu-HU"/>
              </w:rPr>
            </w:pPr>
            <w:r w:rsidRPr="001D0504">
              <w:rPr>
                <w:rFonts w:asciiTheme="majorHAnsi" w:eastAsia="Times New Roman" w:hAnsiTheme="majorHAnsi" w:cs="Times New Roman"/>
                <w:color w:val="000000"/>
                <w:lang w:eastAsia="hu-HU"/>
              </w:rPr>
              <w:t>13 fő</w:t>
            </w:r>
          </w:p>
        </w:tc>
        <w:tc>
          <w:tcPr>
            <w:tcW w:w="1417" w:type="dxa"/>
            <w:noWrap/>
            <w:hideMark/>
          </w:tcPr>
          <w:p w:rsidR="00621C0E" w:rsidRPr="001D0504" w:rsidRDefault="00621C0E" w:rsidP="00621C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hu-HU"/>
              </w:rPr>
            </w:pPr>
            <w:r w:rsidRPr="001D0504">
              <w:rPr>
                <w:rFonts w:asciiTheme="majorHAnsi" w:eastAsia="Times New Roman" w:hAnsiTheme="majorHAnsi" w:cs="Times New Roman"/>
                <w:b/>
                <w:color w:val="000000"/>
                <w:lang w:eastAsia="hu-HU"/>
              </w:rPr>
              <w:t>17 fő</w:t>
            </w:r>
          </w:p>
        </w:tc>
        <w:tc>
          <w:tcPr>
            <w:tcW w:w="1417" w:type="dxa"/>
            <w:noWrap/>
            <w:hideMark/>
          </w:tcPr>
          <w:p w:rsidR="00621C0E" w:rsidRPr="001D0504" w:rsidRDefault="00621C0E" w:rsidP="00621C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hu-HU"/>
              </w:rPr>
            </w:pPr>
            <w:r w:rsidRPr="001D0504">
              <w:rPr>
                <w:rFonts w:asciiTheme="majorHAnsi" w:eastAsia="Times New Roman" w:hAnsiTheme="majorHAnsi" w:cs="Times New Roman"/>
                <w:b/>
                <w:color w:val="000000"/>
                <w:lang w:eastAsia="hu-HU"/>
              </w:rPr>
              <w:t>27 fő</w:t>
            </w:r>
          </w:p>
        </w:tc>
        <w:tc>
          <w:tcPr>
            <w:tcW w:w="1417" w:type="dxa"/>
            <w:noWrap/>
            <w:hideMark/>
          </w:tcPr>
          <w:p w:rsidR="00621C0E" w:rsidRPr="001D0504" w:rsidRDefault="00621C0E" w:rsidP="00621C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hu-HU"/>
              </w:rPr>
            </w:pPr>
            <w:r w:rsidRPr="001D0504">
              <w:rPr>
                <w:rFonts w:asciiTheme="majorHAnsi" w:eastAsia="Times New Roman" w:hAnsiTheme="majorHAnsi" w:cs="Times New Roman"/>
                <w:b/>
                <w:color w:val="000000"/>
                <w:lang w:eastAsia="hu-HU"/>
              </w:rPr>
              <w:t>22 fő</w:t>
            </w:r>
          </w:p>
        </w:tc>
        <w:tc>
          <w:tcPr>
            <w:tcW w:w="1417" w:type="dxa"/>
            <w:noWrap/>
            <w:hideMark/>
          </w:tcPr>
          <w:p w:rsidR="00621C0E" w:rsidRPr="001D0504" w:rsidRDefault="00621C0E" w:rsidP="00621C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hu-HU"/>
              </w:rPr>
            </w:pPr>
            <w:r w:rsidRPr="001D0504">
              <w:rPr>
                <w:rFonts w:asciiTheme="majorHAnsi" w:eastAsia="Times New Roman" w:hAnsiTheme="majorHAnsi" w:cs="Times New Roman"/>
                <w:b/>
                <w:color w:val="000000"/>
                <w:lang w:eastAsia="hu-HU"/>
              </w:rPr>
              <w:t>28 fő</w:t>
            </w:r>
          </w:p>
        </w:tc>
        <w:tc>
          <w:tcPr>
            <w:tcW w:w="1417" w:type="dxa"/>
            <w:noWrap/>
            <w:hideMark/>
          </w:tcPr>
          <w:p w:rsidR="00621C0E" w:rsidRPr="001D0504" w:rsidRDefault="00621C0E" w:rsidP="00621C0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000000"/>
                <w:lang w:eastAsia="hu-HU"/>
              </w:rPr>
            </w:pPr>
            <w:r w:rsidRPr="001D0504">
              <w:rPr>
                <w:rFonts w:asciiTheme="majorHAnsi" w:eastAsia="Times New Roman" w:hAnsiTheme="majorHAnsi" w:cs="Times New Roman"/>
                <w:b/>
                <w:color w:val="000000"/>
                <w:lang w:eastAsia="hu-HU"/>
              </w:rPr>
              <w:t>22 fő</w:t>
            </w:r>
          </w:p>
        </w:tc>
      </w:tr>
    </w:tbl>
    <w:p w:rsidR="00621C0E" w:rsidRDefault="00621C0E" w:rsidP="0070229D">
      <w:pPr>
        <w:spacing w:after="240" w:line="360" w:lineRule="auto"/>
        <w:jc w:val="both"/>
        <w:rPr>
          <w:rFonts w:asciiTheme="majorHAnsi" w:eastAsia="Times New Roman" w:hAnsiTheme="majorHAnsi" w:cs="Times New Roman"/>
          <w:sz w:val="24"/>
          <w:szCs w:val="24"/>
          <w:lang w:eastAsia="hu-HU"/>
        </w:rPr>
      </w:pPr>
    </w:p>
    <w:p w:rsidR="0043315B" w:rsidRPr="0043315B" w:rsidRDefault="006D7B1C" w:rsidP="0043315B">
      <w:pPr>
        <w:spacing w:after="0" w:line="360" w:lineRule="auto"/>
        <w:jc w:val="center"/>
        <w:rPr>
          <w:rFonts w:asciiTheme="majorHAnsi" w:eastAsia="Times New Roman" w:hAnsiTheme="majorHAnsi" w:cs="Times New Roman"/>
          <w:sz w:val="24"/>
          <w:szCs w:val="24"/>
          <w:lang w:eastAsia="hu-HU"/>
        </w:rPr>
      </w:pPr>
      <w:r w:rsidRPr="0043315B">
        <w:rPr>
          <w:rFonts w:asciiTheme="majorHAnsi" w:eastAsia="Times New Roman" w:hAnsiTheme="majorHAnsi" w:cs="Times New Roman"/>
          <w:sz w:val="24"/>
          <w:szCs w:val="24"/>
          <w:lang w:eastAsia="hu-HU"/>
        </w:rPr>
        <w:lastRenderedPageBreak/>
        <w:drawing>
          <wp:inline distT="0" distB="0" distL="0" distR="0" wp14:anchorId="0D56C527" wp14:editId="54D62DE0">
            <wp:extent cx="4572000" cy="27432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7B1C" w:rsidRPr="00FD6F6B" w:rsidRDefault="00FD6F6B" w:rsidP="00FD6F6B">
      <w:pPr>
        <w:pStyle w:val="Kpalrs"/>
        <w:rPr>
          <w:noProof/>
        </w:rPr>
      </w:pPr>
      <w:r w:rsidRPr="00FD6F6B">
        <w:rPr>
          <w:noProof/>
        </w:rPr>
        <w:fldChar w:fldCharType="begin"/>
      </w:r>
      <w:r w:rsidRPr="00FD6F6B">
        <w:rPr>
          <w:noProof/>
        </w:rPr>
        <w:instrText xml:space="preserve"> SEQ ábra \* ARABIC </w:instrText>
      </w:r>
      <w:r w:rsidRPr="00FD6F6B">
        <w:rPr>
          <w:noProof/>
        </w:rPr>
        <w:fldChar w:fldCharType="separate"/>
      </w:r>
      <w:bookmarkStart w:id="5" w:name="_Toc503091140"/>
      <w:r w:rsidR="009F3A94">
        <w:rPr>
          <w:noProof/>
        </w:rPr>
        <w:t>2</w:t>
      </w:r>
      <w:r w:rsidRPr="00FD6F6B">
        <w:rPr>
          <w:noProof/>
        </w:rPr>
        <w:fldChar w:fldCharType="end"/>
      </w:r>
      <w:r w:rsidRPr="00FD6F6B">
        <w:rPr>
          <w:noProof/>
        </w:rPr>
        <w:t>. ábra – A minta megoszlása a felvettek által tett vizsga időpontja szerint</w:t>
      </w:r>
      <w:bookmarkEnd w:id="5"/>
    </w:p>
    <w:p w:rsidR="00FD6F6B" w:rsidRDefault="00DD343B" w:rsidP="003F7DAA">
      <w:pPr>
        <w:pStyle w:val="Cmsor2"/>
      </w:pPr>
      <w:bookmarkStart w:id="6" w:name="_Toc503091297"/>
      <w:r>
        <w:t>A COCO-Y0 módszer</w:t>
      </w:r>
      <w:r w:rsidR="009828C3">
        <w:rPr>
          <w:rStyle w:val="Lbjegyzet-hivatkozs"/>
        </w:rPr>
        <w:footnoteReference w:id="1"/>
      </w:r>
      <w:bookmarkEnd w:id="6"/>
    </w:p>
    <w:p w:rsidR="00DD343B" w:rsidRDefault="00523E7F"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vizsgálatba bevont hallgatók egyetemi előrehaladásának / sikerességének mérésére az antidiszkriminatív hasonlóságelemzés (</w:t>
      </w:r>
      <w:proofErr w:type="spellStart"/>
      <w:r w:rsidRPr="00523E7F">
        <w:rPr>
          <w:rFonts w:asciiTheme="majorHAnsi" w:eastAsia="Times New Roman" w:hAnsiTheme="majorHAnsi" w:cs="Times New Roman"/>
          <w:i/>
          <w:sz w:val="24"/>
          <w:szCs w:val="24"/>
          <w:lang w:eastAsia="hu-HU"/>
        </w:rPr>
        <w:t>component-based</w:t>
      </w:r>
      <w:proofErr w:type="spellEnd"/>
      <w:r w:rsidRPr="00523E7F">
        <w:rPr>
          <w:rFonts w:asciiTheme="majorHAnsi" w:eastAsia="Times New Roman" w:hAnsiTheme="majorHAnsi" w:cs="Times New Roman"/>
          <w:i/>
          <w:sz w:val="24"/>
          <w:szCs w:val="24"/>
          <w:lang w:eastAsia="hu-HU"/>
        </w:rPr>
        <w:t xml:space="preserve"> </w:t>
      </w:r>
      <w:proofErr w:type="spellStart"/>
      <w:r w:rsidRPr="00523E7F">
        <w:rPr>
          <w:rFonts w:asciiTheme="majorHAnsi" w:eastAsia="Times New Roman" w:hAnsiTheme="majorHAnsi" w:cs="Times New Roman"/>
          <w:i/>
          <w:sz w:val="24"/>
          <w:szCs w:val="24"/>
          <w:lang w:eastAsia="hu-HU"/>
        </w:rPr>
        <w:t>object</w:t>
      </w:r>
      <w:proofErr w:type="spellEnd"/>
      <w:r w:rsidRPr="00523E7F">
        <w:rPr>
          <w:rFonts w:asciiTheme="majorHAnsi" w:eastAsia="Times New Roman" w:hAnsiTheme="majorHAnsi" w:cs="Times New Roman"/>
          <w:i/>
          <w:sz w:val="24"/>
          <w:szCs w:val="24"/>
          <w:lang w:eastAsia="hu-HU"/>
        </w:rPr>
        <w:t xml:space="preserve"> </w:t>
      </w:r>
      <w:proofErr w:type="spellStart"/>
      <w:r w:rsidRPr="00523E7F">
        <w:rPr>
          <w:rFonts w:asciiTheme="majorHAnsi" w:eastAsia="Times New Roman" w:hAnsiTheme="majorHAnsi" w:cs="Times New Roman"/>
          <w:i/>
          <w:sz w:val="24"/>
          <w:szCs w:val="24"/>
          <w:lang w:eastAsia="hu-HU"/>
        </w:rPr>
        <w:t>comparison</w:t>
      </w:r>
      <w:proofErr w:type="spellEnd"/>
      <w:r w:rsidRPr="00523E7F">
        <w:rPr>
          <w:rFonts w:asciiTheme="majorHAnsi" w:eastAsia="Times New Roman" w:hAnsiTheme="majorHAnsi" w:cs="Times New Roman"/>
          <w:i/>
          <w:sz w:val="24"/>
          <w:szCs w:val="24"/>
          <w:lang w:eastAsia="hu-HU"/>
        </w:rPr>
        <w:t xml:space="preserve"> </w:t>
      </w:r>
      <w:proofErr w:type="spellStart"/>
      <w:r w:rsidRPr="00523E7F">
        <w:rPr>
          <w:rFonts w:asciiTheme="majorHAnsi" w:eastAsia="Times New Roman" w:hAnsiTheme="majorHAnsi" w:cs="Times New Roman"/>
          <w:i/>
          <w:sz w:val="24"/>
          <w:szCs w:val="24"/>
          <w:lang w:eastAsia="hu-HU"/>
        </w:rPr>
        <w:t>for</w:t>
      </w:r>
      <w:proofErr w:type="spellEnd"/>
      <w:r w:rsidRPr="00523E7F">
        <w:rPr>
          <w:rFonts w:asciiTheme="majorHAnsi" w:eastAsia="Times New Roman" w:hAnsiTheme="majorHAnsi" w:cs="Times New Roman"/>
          <w:i/>
          <w:sz w:val="24"/>
          <w:szCs w:val="24"/>
          <w:lang w:eastAsia="hu-HU"/>
        </w:rPr>
        <w:t xml:space="preserve"> </w:t>
      </w:r>
      <w:proofErr w:type="spellStart"/>
      <w:r w:rsidRPr="00523E7F">
        <w:rPr>
          <w:rFonts w:asciiTheme="majorHAnsi" w:eastAsia="Times New Roman" w:hAnsiTheme="majorHAnsi" w:cs="Times New Roman"/>
          <w:i/>
          <w:sz w:val="24"/>
          <w:szCs w:val="24"/>
          <w:lang w:eastAsia="hu-HU"/>
        </w:rPr>
        <w:t>objectivity</w:t>
      </w:r>
      <w:proofErr w:type="spellEnd"/>
      <w:r>
        <w:rPr>
          <w:rFonts w:asciiTheme="majorHAnsi" w:eastAsia="Times New Roman" w:hAnsiTheme="majorHAnsi" w:cs="Times New Roman"/>
          <w:sz w:val="24"/>
          <w:szCs w:val="24"/>
          <w:lang w:eastAsia="hu-HU"/>
        </w:rPr>
        <w:t>, COCO) módszerét alkalmaztam.</w:t>
      </w:r>
    </w:p>
    <w:p w:rsidR="005476BE" w:rsidRDefault="0005630A"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w:t>
      </w:r>
      <w:proofErr w:type="spellStart"/>
      <w:r>
        <w:rPr>
          <w:rFonts w:asciiTheme="majorHAnsi" w:eastAsia="Times New Roman" w:hAnsiTheme="majorHAnsi" w:cs="Times New Roman"/>
          <w:sz w:val="24"/>
          <w:szCs w:val="24"/>
          <w:lang w:eastAsia="hu-HU"/>
        </w:rPr>
        <w:t>COCO-módszer</w:t>
      </w:r>
      <w:proofErr w:type="spellEnd"/>
      <w:r>
        <w:rPr>
          <w:rFonts w:asciiTheme="majorHAnsi" w:eastAsia="Times New Roman" w:hAnsiTheme="majorHAnsi" w:cs="Times New Roman"/>
          <w:sz w:val="24"/>
          <w:szCs w:val="24"/>
          <w:lang w:eastAsia="hu-HU"/>
        </w:rPr>
        <w:t xml:space="preserve"> </w:t>
      </w:r>
      <w:r w:rsidR="005476BE">
        <w:rPr>
          <w:rFonts w:asciiTheme="majorHAnsi" w:eastAsia="Times New Roman" w:hAnsiTheme="majorHAnsi" w:cs="Times New Roman"/>
          <w:sz w:val="24"/>
          <w:szCs w:val="24"/>
          <w:lang w:eastAsia="hu-HU"/>
        </w:rPr>
        <w:t xml:space="preserve">egy speciális többváltozós regressziós modellt alkalmaz, </w:t>
      </w:r>
      <w:r w:rsidR="00111F9C">
        <w:rPr>
          <w:rFonts w:asciiTheme="majorHAnsi" w:eastAsia="Times New Roman" w:hAnsiTheme="majorHAnsi" w:cs="Times New Roman"/>
          <w:sz w:val="24"/>
          <w:szCs w:val="24"/>
          <w:lang w:eastAsia="hu-HU"/>
        </w:rPr>
        <w:t xml:space="preserve">s </w:t>
      </w:r>
      <w:r w:rsidR="005476BE">
        <w:rPr>
          <w:rFonts w:asciiTheme="majorHAnsi" w:eastAsia="Times New Roman" w:hAnsiTheme="majorHAnsi" w:cs="Times New Roman"/>
          <w:sz w:val="24"/>
          <w:szCs w:val="24"/>
          <w:lang w:eastAsia="hu-HU"/>
        </w:rPr>
        <w:t xml:space="preserve">tetszőleges számú független </w:t>
      </w:r>
      <w:proofErr w:type="gramStart"/>
      <w:r w:rsidR="005476BE">
        <w:rPr>
          <w:rFonts w:asciiTheme="majorHAnsi" w:eastAsia="Times New Roman" w:hAnsiTheme="majorHAnsi" w:cs="Times New Roman"/>
          <w:sz w:val="24"/>
          <w:szCs w:val="24"/>
          <w:lang w:eastAsia="hu-HU"/>
        </w:rPr>
        <w:t>(</w:t>
      </w:r>
      <m:oMath>
        <m:sSub>
          <m:sSubPr>
            <m:ctrlPr>
              <w:rPr>
                <w:rFonts w:ascii="Cambria Math" w:eastAsia="Times New Roman" w:hAnsi="Cambria Math" w:cs="Times New Roman"/>
                <w:i/>
                <w:sz w:val="24"/>
                <w:szCs w:val="24"/>
                <w:lang w:eastAsia="hu-HU"/>
              </w:rPr>
            </m:ctrlPr>
          </m:sSubPr>
          <m:e>
            <m:r>
              <w:rPr>
                <w:rFonts w:ascii="Cambria Math" w:eastAsia="Times New Roman" w:hAnsi="Cambria Math" w:cs="Times New Roman"/>
                <w:sz w:val="24"/>
                <w:szCs w:val="24"/>
                <w:lang w:eastAsia="hu-HU"/>
              </w:rPr>
              <m:t>X</m:t>
            </m:r>
          </m:e>
          <m:sub>
            <m:r>
              <w:rPr>
                <w:rFonts w:ascii="Cambria Math" w:eastAsia="Times New Roman" w:hAnsi="Cambria Math" w:cs="Times New Roman"/>
                <w:sz w:val="24"/>
                <w:szCs w:val="24"/>
                <w:lang w:eastAsia="hu-HU"/>
              </w:rPr>
              <m:t>i</m:t>
            </m:r>
          </m:sub>
        </m:sSub>
        <m:r>
          <w:rPr>
            <w:rFonts w:ascii="Cambria Math" w:eastAsia="Times New Roman" w:hAnsi="Cambria Math" w:cs="Times New Roman"/>
            <w:sz w:val="24"/>
            <w:szCs w:val="24"/>
            <w:lang w:eastAsia="hu-HU"/>
          </w:rPr>
          <m:t>∈</m:t>
        </m:r>
        <m:sSup>
          <m:sSupPr>
            <m:ctrlPr>
              <w:rPr>
                <w:rFonts w:ascii="Cambria Math" w:eastAsia="Times New Roman" w:hAnsi="Cambria Math" w:cs="Times New Roman"/>
                <w:i/>
                <w:sz w:val="24"/>
                <w:szCs w:val="24"/>
                <w:lang w:eastAsia="hu-HU"/>
              </w:rPr>
            </m:ctrlPr>
          </m:sSupPr>
          <m:e>
            <m:r>
              <m:rPr>
                <m:scr m:val="double-struck"/>
              </m:rPr>
              <w:rPr>
                <w:rFonts w:ascii="Cambria Math" w:eastAsia="Times New Roman" w:hAnsi="Cambria Math" w:cs="Times New Roman"/>
                <w:sz w:val="24"/>
                <w:szCs w:val="24"/>
                <w:lang w:eastAsia="hu-HU"/>
              </w:rPr>
              <m:t>N</m:t>
            </m:r>
          </m:e>
          <m:sup>
            <m:r>
              <w:rPr>
                <w:rFonts w:ascii="Cambria Math" w:eastAsia="Times New Roman" w:hAnsi="Cambria Math" w:cs="Times New Roman"/>
                <w:sz w:val="24"/>
                <w:szCs w:val="24"/>
                <w:lang w:eastAsia="hu-HU"/>
              </w:rPr>
              <m:t>n</m:t>
            </m:r>
          </m:sup>
        </m:sSup>
      </m:oMath>
      <w:r w:rsidR="005476BE">
        <w:rPr>
          <w:rFonts w:asciiTheme="majorHAnsi" w:eastAsia="Times New Roman" w:hAnsiTheme="majorHAnsi" w:cs="Times New Roman"/>
          <w:sz w:val="24"/>
          <w:szCs w:val="24"/>
          <w:lang w:eastAsia="hu-HU"/>
        </w:rPr>
        <w:t>)</w:t>
      </w:r>
      <w:proofErr w:type="gramEnd"/>
      <w:r w:rsidR="005476BE">
        <w:rPr>
          <w:rFonts w:asciiTheme="majorHAnsi" w:eastAsia="Times New Roman" w:hAnsiTheme="majorHAnsi" w:cs="Times New Roman"/>
          <w:sz w:val="24"/>
          <w:szCs w:val="24"/>
          <w:lang w:eastAsia="hu-HU"/>
        </w:rPr>
        <w:t xml:space="preserve"> és a függő változó (</w:t>
      </w:r>
      <m:oMath>
        <m:r>
          <w:rPr>
            <w:rFonts w:ascii="Cambria Math" w:eastAsia="Times New Roman" w:hAnsi="Cambria Math" w:cs="Times New Roman"/>
            <w:sz w:val="24"/>
            <w:szCs w:val="24"/>
            <w:lang w:eastAsia="hu-HU"/>
          </w:rPr>
          <m:t>Y</m:t>
        </m:r>
        <m:r>
          <w:rPr>
            <w:rFonts w:ascii="Cambria Math" w:eastAsia="Times New Roman" w:hAnsi="Cambria Math" w:cs="Times New Roman"/>
            <w:sz w:val="24"/>
            <w:szCs w:val="24"/>
            <w:lang w:eastAsia="hu-HU"/>
          </w:rPr>
          <m:t>∈</m:t>
        </m:r>
        <m:sSup>
          <m:sSupPr>
            <m:ctrlPr>
              <w:rPr>
                <w:rFonts w:ascii="Cambria Math" w:eastAsia="Times New Roman" w:hAnsi="Cambria Math" w:cs="Times New Roman"/>
                <w:i/>
                <w:sz w:val="24"/>
                <w:szCs w:val="24"/>
                <w:lang w:eastAsia="hu-HU"/>
              </w:rPr>
            </m:ctrlPr>
          </m:sSupPr>
          <m:e>
            <m:r>
              <m:rPr>
                <m:scr m:val="double-struck"/>
              </m:rPr>
              <w:rPr>
                <w:rFonts w:ascii="Cambria Math" w:eastAsia="Times New Roman" w:hAnsi="Cambria Math" w:cs="Times New Roman"/>
                <w:sz w:val="24"/>
                <w:szCs w:val="24"/>
                <w:lang w:eastAsia="hu-HU"/>
              </w:rPr>
              <m:t>R</m:t>
            </m:r>
          </m:e>
          <m:sup>
            <m:r>
              <w:rPr>
                <w:rFonts w:ascii="Cambria Math" w:eastAsia="Times New Roman" w:hAnsi="Cambria Math" w:cs="Times New Roman"/>
                <w:sz w:val="24"/>
                <w:szCs w:val="24"/>
                <w:lang w:eastAsia="hu-HU"/>
              </w:rPr>
              <m:t>n</m:t>
            </m:r>
          </m:sup>
        </m:sSup>
      </m:oMath>
      <w:r w:rsidR="0040613A">
        <w:rPr>
          <w:rFonts w:asciiTheme="majorHAnsi" w:eastAsia="Times New Roman" w:hAnsiTheme="majorHAnsi" w:cs="Times New Roman"/>
          <w:sz w:val="24"/>
          <w:szCs w:val="24"/>
          <w:lang w:eastAsia="hu-HU"/>
        </w:rPr>
        <w:t>) közötti összefüggés feltárására alkalmas olyan módon, hogy az egyes változók nem egyetlen regressziós együtthatót kapnak, hanem az adott változó</w:t>
      </w:r>
      <w:r w:rsidR="00111F9C">
        <w:rPr>
          <w:rFonts w:asciiTheme="majorHAnsi" w:eastAsia="Times New Roman" w:hAnsiTheme="majorHAnsi" w:cs="Times New Roman"/>
          <w:sz w:val="24"/>
          <w:szCs w:val="24"/>
          <w:lang w:eastAsia="hu-HU"/>
        </w:rPr>
        <w:t xml:space="preserve"> értékein</w:t>
      </w:r>
      <w:r w:rsidR="00C73CB4">
        <w:rPr>
          <w:rFonts w:asciiTheme="majorHAnsi" w:eastAsia="Times New Roman" w:hAnsiTheme="majorHAnsi" w:cs="Times New Roman"/>
          <w:sz w:val="24"/>
          <w:szCs w:val="24"/>
          <w:lang w:eastAsia="hu-HU"/>
        </w:rPr>
        <w:t xml:space="preserve"> </w:t>
      </w:r>
      <w:r w:rsidR="0040613A">
        <w:rPr>
          <w:rFonts w:asciiTheme="majorHAnsi" w:eastAsia="Times New Roman" w:hAnsiTheme="majorHAnsi" w:cs="Times New Roman"/>
          <w:sz w:val="24"/>
          <w:szCs w:val="24"/>
          <w:lang w:eastAsia="hu-HU"/>
        </w:rPr>
        <w:t xml:space="preserve">értelmezett lépcsős függvény </w:t>
      </w:r>
      <w:r w:rsidR="00136E70">
        <w:rPr>
          <w:rFonts w:asciiTheme="majorHAnsi" w:eastAsia="Times New Roman" w:hAnsiTheme="majorHAnsi" w:cs="Times New Roman"/>
          <w:sz w:val="24"/>
          <w:szCs w:val="24"/>
          <w:lang w:eastAsia="hu-HU"/>
        </w:rPr>
        <w:t>(</w:t>
      </w:r>
      <m:oMath>
        <m:sSub>
          <m:sSubPr>
            <m:ctrlPr>
              <w:rPr>
                <w:rFonts w:ascii="Cambria Math" w:eastAsia="Times New Roman" w:hAnsi="Cambria Math" w:cs="Times New Roman"/>
                <w:i/>
                <w:sz w:val="24"/>
                <w:szCs w:val="24"/>
                <w:lang w:eastAsia="hu-HU"/>
              </w:rPr>
            </m:ctrlPr>
          </m:sSubPr>
          <m:e>
            <m:r>
              <w:rPr>
                <w:rFonts w:ascii="Cambria Math" w:eastAsia="Times New Roman" w:hAnsi="Cambria Math" w:cs="Times New Roman"/>
                <w:sz w:val="24"/>
                <w:szCs w:val="24"/>
                <w:lang w:eastAsia="hu-HU"/>
              </w:rPr>
              <m:t>S</m:t>
            </m:r>
          </m:e>
          <m:sub>
            <m:r>
              <w:rPr>
                <w:rFonts w:ascii="Cambria Math" w:eastAsia="Times New Roman" w:hAnsi="Cambria Math" w:cs="Times New Roman"/>
                <w:sz w:val="24"/>
                <w:szCs w:val="24"/>
                <w:lang w:eastAsia="hu-HU"/>
              </w:rPr>
              <m:t>i</m:t>
            </m:r>
          </m:sub>
        </m:sSub>
        <m:r>
          <w:rPr>
            <w:rFonts w:ascii="Cambria Math" w:eastAsia="Times New Roman" w:hAnsi="Cambria Math" w:cs="Times New Roman"/>
            <w:sz w:val="24"/>
            <w:szCs w:val="24"/>
            <w:lang w:eastAsia="hu-HU"/>
          </w:rPr>
          <m:t>:</m:t>
        </m:r>
        <m:r>
          <m:rPr>
            <m:scr m:val="double-struck"/>
          </m:rPr>
          <w:rPr>
            <w:rFonts w:ascii="Cambria Math" w:eastAsia="Times New Roman" w:hAnsi="Cambria Math" w:cs="Times New Roman"/>
            <w:sz w:val="24"/>
            <w:szCs w:val="24"/>
            <w:lang w:eastAsia="hu-HU"/>
          </w:rPr>
          <m:t>N→R</m:t>
        </m:r>
      </m:oMath>
      <w:r w:rsidR="00136E70">
        <w:rPr>
          <w:rFonts w:asciiTheme="majorHAnsi" w:eastAsia="Times New Roman" w:hAnsiTheme="majorHAnsi" w:cs="Times New Roman"/>
          <w:sz w:val="24"/>
          <w:szCs w:val="24"/>
          <w:lang w:eastAsia="hu-HU"/>
        </w:rPr>
        <w:t xml:space="preserve">) </w:t>
      </w:r>
      <w:r w:rsidR="0040613A">
        <w:rPr>
          <w:rFonts w:asciiTheme="majorHAnsi" w:eastAsia="Times New Roman" w:hAnsiTheme="majorHAnsi" w:cs="Times New Roman"/>
          <w:sz w:val="24"/>
          <w:szCs w:val="24"/>
          <w:lang w:eastAsia="hu-HU"/>
        </w:rPr>
        <w:t xml:space="preserve">adja meg a változó lehetséges </w:t>
      </w:r>
      <w:r w:rsidR="00B9737E">
        <w:rPr>
          <w:rFonts w:asciiTheme="majorHAnsi" w:eastAsia="Times New Roman" w:hAnsiTheme="majorHAnsi" w:cs="Times New Roman"/>
          <w:sz w:val="24"/>
          <w:szCs w:val="24"/>
          <w:lang w:eastAsia="hu-HU"/>
        </w:rPr>
        <w:t>hatásának értékeit</w:t>
      </w:r>
      <w:r w:rsidR="0040613A">
        <w:rPr>
          <w:rFonts w:asciiTheme="majorHAnsi" w:eastAsia="Times New Roman" w:hAnsiTheme="majorHAnsi" w:cs="Times New Roman"/>
          <w:sz w:val="24"/>
          <w:szCs w:val="24"/>
          <w:lang w:eastAsia="hu-HU"/>
        </w:rPr>
        <w:t>.</w:t>
      </w:r>
      <w:r w:rsidR="002818EC">
        <w:rPr>
          <w:rFonts w:asciiTheme="majorHAnsi" w:eastAsia="Times New Roman" w:hAnsiTheme="majorHAnsi" w:cs="Times New Roman"/>
          <w:sz w:val="24"/>
          <w:szCs w:val="24"/>
          <w:lang w:eastAsia="hu-HU"/>
        </w:rPr>
        <w:t xml:space="preserve"> A modellalkotás lineáris programozási eljáráson alapul, a választott módszer esetében a változók </w:t>
      </w:r>
      <w:r w:rsidR="0041446D">
        <w:rPr>
          <w:rFonts w:asciiTheme="majorHAnsi" w:eastAsia="Times New Roman" w:hAnsiTheme="majorHAnsi" w:cs="Times New Roman"/>
          <w:sz w:val="24"/>
          <w:szCs w:val="24"/>
          <w:lang w:eastAsia="hu-HU"/>
        </w:rPr>
        <w:t xml:space="preserve">additív becslését adják az </w:t>
      </w:r>
      <m:oMath>
        <m:r>
          <w:rPr>
            <w:rFonts w:ascii="Cambria Math" w:eastAsia="Times New Roman" w:hAnsi="Cambria Math" w:cs="Times New Roman"/>
            <w:sz w:val="24"/>
            <w:szCs w:val="24"/>
            <w:lang w:eastAsia="hu-HU"/>
          </w:rPr>
          <m:t>Y</m:t>
        </m:r>
      </m:oMath>
      <w:r w:rsidR="0041446D">
        <w:rPr>
          <w:rFonts w:asciiTheme="majorHAnsi" w:eastAsia="Times New Roman" w:hAnsiTheme="majorHAnsi" w:cs="Times New Roman"/>
          <w:sz w:val="24"/>
          <w:szCs w:val="24"/>
          <w:lang w:eastAsia="hu-HU"/>
        </w:rPr>
        <w:t xml:space="preserve"> értékének.</w:t>
      </w:r>
    </w:p>
    <w:p w:rsidR="009E542E" w:rsidRDefault="009E542E" w:rsidP="0070229D">
      <w:pPr>
        <w:spacing w:after="240" w:line="360" w:lineRule="auto"/>
        <w:jc w:val="both"/>
        <w:rPr>
          <w:rFonts w:asciiTheme="majorHAnsi" w:eastAsia="Times New Roman" w:hAnsiTheme="majorHAnsi" w:cs="Times New Roman"/>
          <w:sz w:val="28"/>
          <w:szCs w:val="24"/>
          <w:lang w:eastAsia="hu-HU"/>
        </w:rPr>
      </w:pPr>
      <m:oMathPara>
        <m:oMath>
          <m:d>
            <m:dPr>
              <m:ctrlPr>
                <w:rPr>
                  <w:rFonts w:ascii="Cambria Math" w:eastAsia="Times New Roman" w:hAnsi="Cambria Math" w:cs="Times New Roman"/>
                  <w:i/>
                  <w:sz w:val="28"/>
                  <w:szCs w:val="24"/>
                  <w:lang w:eastAsia="hu-HU"/>
                </w:rPr>
              </m:ctrlPr>
            </m:dPr>
            <m:e>
              <m:m>
                <m:mPr>
                  <m:mcs>
                    <m:mc>
                      <m:mcPr>
                        <m:count m:val="1"/>
                        <m:mcJc m:val="center"/>
                      </m:mcPr>
                    </m:mc>
                  </m:mcs>
                  <m:ctrlPr>
                    <w:rPr>
                      <w:rFonts w:ascii="Cambria Math" w:eastAsia="Times New Roman" w:hAnsi="Cambria Math" w:cs="Times New Roman"/>
                      <w:i/>
                      <w:sz w:val="28"/>
                      <w:szCs w:val="24"/>
                      <w:lang w:eastAsia="hu-HU"/>
                    </w:rPr>
                  </m:ctrlPr>
                </m:mPr>
                <m:mr>
                  <m:e>
                    <m:sSub>
                      <m:sSubPr>
                        <m:ctrlPr>
                          <w:rPr>
                            <w:rFonts w:ascii="Cambria Math" w:eastAsia="Times New Roman" w:hAnsi="Cambria Math" w:cs="Times New Roman"/>
                            <w:i/>
                            <w:sz w:val="28"/>
                            <w:szCs w:val="24"/>
                            <w:lang w:eastAsia="hu-HU"/>
                          </w:rPr>
                        </m:ctrlPr>
                      </m:sSubPr>
                      <m:e>
                        <m:r>
                          <w:rPr>
                            <w:rFonts w:ascii="Cambria Math" w:eastAsia="Times New Roman" w:hAnsi="Cambria Math" w:cs="Times New Roman"/>
                            <w:sz w:val="28"/>
                            <w:szCs w:val="24"/>
                            <w:lang w:eastAsia="hu-HU"/>
                          </w:rPr>
                          <m:t>Y</m:t>
                        </m:r>
                      </m:e>
                      <m:sub>
                        <m:r>
                          <w:rPr>
                            <w:rFonts w:ascii="Cambria Math" w:eastAsia="Times New Roman" w:hAnsi="Cambria Math" w:cs="Times New Roman"/>
                            <w:sz w:val="28"/>
                            <w:szCs w:val="24"/>
                            <w:lang w:eastAsia="hu-HU"/>
                          </w:rPr>
                          <m:t>1</m:t>
                        </m:r>
                      </m:sub>
                    </m:sSub>
                  </m:e>
                </m:mr>
                <m:mr>
                  <m:e>
                    <m:r>
                      <w:rPr>
                        <w:rFonts w:ascii="Cambria Math" w:eastAsia="Times New Roman" w:hAnsi="Cambria Math" w:cs="Times New Roman"/>
                        <w:sz w:val="28"/>
                        <w:szCs w:val="24"/>
                      </w:rPr>
                      <m:t>⋮</m:t>
                    </m:r>
                  </m:e>
                </m:mr>
                <m:mr>
                  <m:e>
                    <m:sSub>
                      <m:sSubPr>
                        <m:ctrlPr>
                          <w:rPr>
                            <w:rFonts w:ascii="Cambria Math" w:eastAsia="Times New Roman" w:hAnsi="Cambria Math" w:cs="Times New Roman"/>
                            <w:i/>
                            <w:sz w:val="28"/>
                            <w:szCs w:val="24"/>
                            <w:lang w:eastAsia="hu-HU"/>
                          </w:rPr>
                        </m:ctrlPr>
                      </m:sSubPr>
                      <m:e>
                        <m:r>
                          <w:rPr>
                            <w:rFonts w:ascii="Cambria Math" w:eastAsia="Times New Roman" w:hAnsi="Cambria Math" w:cs="Times New Roman"/>
                            <w:sz w:val="28"/>
                            <w:szCs w:val="24"/>
                            <w:lang w:eastAsia="hu-HU"/>
                          </w:rPr>
                          <m:t>Y</m:t>
                        </m:r>
                      </m:e>
                      <m:sub>
                        <m:r>
                          <w:rPr>
                            <w:rFonts w:ascii="Cambria Math" w:eastAsia="Times New Roman" w:hAnsi="Cambria Math" w:cs="Times New Roman"/>
                            <w:sz w:val="28"/>
                            <w:szCs w:val="24"/>
                            <w:lang w:eastAsia="hu-HU"/>
                          </w:rPr>
                          <m:t>n</m:t>
                        </m:r>
                      </m:sub>
                    </m:sSub>
                  </m:e>
                </m:mr>
              </m:m>
            </m:e>
          </m:d>
          <m:r>
            <w:rPr>
              <w:rFonts w:ascii="Cambria Math" w:eastAsia="Times New Roman" w:hAnsi="Cambria Math" w:cs="Times New Roman"/>
              <w:sz w:val="28"/>
              <w:szCs w:val="24"/>
              <w:lang w:eastAsia="hu-HU"/>
            </w:rPr>
            <m:t>=</m:t>
          </m:r>
          <m:nary>
            <m:naryPr>
              <m:chr m:val="∑"/>
              <m:limLoc m:val="undOvr"/>
              <m:ctrlPr>
                <w:rPr>
                  <w:rFonts w:ascii="Cambria Math" w:eastAsia="Times New Roman" w:hAnsi="Cambria Math" w:cs="Times New Roman"/>
                  <w:i/>
                  <w:sz w:val="28"/>
                  <w:szCs w:val="24"/>
                  <w:lang w:eastAsia="hu-HU"/>
                </w:rPr>
              </m:ctrlPr>
            </m:naryPr>
            <m:sub>
              <m:r>
                <w:rPr>
                  <w:rFonts w:ascii="Cambria Math" w:eastAsia="Times New Roman" w:hAnsi="Cambria Math" w:cs="Times New Roman"/>
                  <w:sz w:val="28"/>
                  <w:szCs w:val="24"/>
                  <w:lang w:eastAsia="hu-HU"/>
                </w:rPr>
                <m:t>i=1</m:t>
              </m:r>
            </m:sub>
            <m:sup>
              <m:r>
                <w:rPr>
                  <w:rFonts w:ascii="Cambria Math" w:eastAsia="Times New Roman" w:hAnsi="Cambria Math" w:cs="Times New Roman"/>
                  <w:sz w:val="28"/>
                  <w:szCs w:val="24"/>
                  <w:lang w:eastAsia="hu-HU"/>
                </w:rPr>
                <m:t>k</m:t>
              </m:r>
            </m:sup>
            <m:e>
              <m:d>
                <m:dPr>
                  <m:ctrlPr>
                    <w:rPr>
                      <w:rFonts w:ascii="Cambria Math" w:eastAsia="Times New Roman" w:hAnsi="Cambria Math" w:cs="Times New Roman"/>
                      <w:i/>
                      <w:sz w:val="28"/>
                      <w:szCs w:val="24"/>
                      <w:lang w:eastAsia="hu-HU"/>
                    </w:rPr>
                  </m:ctrlPr>
                </m:dPr>
                <m:e>
                  <m:m>
                    <m:mPr>
                      <m:mcs>
                        <m:mc>
                          <m:mcPr>
                            <m:count m:val="1"/>
                            <m:mcJc m:val="center"/>
                          </m:mcPr>
                        </m:mc>
                      </m:mcs>
                      <m:ctrlPr>
                        <w:rPr>
                          <w:rFonts w:ascii="Cambria Math" w:eastAsia="Times New Roman" w:hAnsi="Cambria Math" w:cs="Times New Roman"/>
                          <w:i/>
                          <w:sz w:val="28"/>
                          <w:szCs w:val="24"/>
                          <w:lang w:eastAsia="hu-HU"/>
                        </w:rPr>
                      </m:ctrlPr>
                    </m:mPr>
                    <m:mr>
                      <m:e>
                        <m:sSub>
                          <m:sSubPr>
                            <m:ctrlPr>
                              <w:rPr>
                                <w:rFonts w:ascii="Cambria Math" w:eastAsia="Times New Roman" w:hAnsi="Cambria Math" w:cs="Times New Roman"/>
                                <w:i/>
                                <w:sz w:val="28"/>
                                <w:szCs w:val="24"/>
                                <w:lang w:eastAsia="hu-HU"/>
                              </w:rPr>
                            </m:ctrlPr>
                          </m:sSubPr>
                          <m:e>
                            <m:r>
                              <w:rPr>
                                <w:rFonts w:ascii="Cambria Math" w:eastAsia="Times New Roman" w:hAnsi="Cambria Math" w:cs="Times New Roman"/>
                                <w:sz w:val="28"/>
                                <w:szCs w:val="24"/>
                                <w:lang w:eastAsia="hu-HU"/>
                              </w:rPr>
                              <m:t>S</m:t>
                            </m:r>
                          </m:e>
                          <m:sub>
                            <m:r>
                              <w:rPr>
                                <w:rFonts w:ascii="Cambria Math" w:eastAsia="Times New Roman" w:hAnsi="Cambria Math" w:cs="Times New Roman"/>
                                <w:sz w:val="28"/>
                                <w:szCs w:val="24"/>
                                <w:lang w:eastAsia="hu-HU"/>
                              </w:rPr>
                              <m:t>i</m:t>
                            </m:r>
                          </m:sub>
                        </m:sSub>
                        <m:d>
                          <m:dPr>
                            <m:ctrlPr>
                              <w:rPr>
                                <w:rFonts w:ascii="Cambria Math" w:eastAsia="Times New Roman" w:hAnsi="Cambria Math" w:cs="Times New Roman"/>
                                <w:i/>
                                <w:sz w:val="28"/>
                                <w:szCs w:val="24"/>
                                <w:lang w:eastAsia="hu-HU"/>
                              </w:rPr>
                            </m:ctrlPr>
                          </m:dPr>
                          <m:e>
                            <m:sSub>
                              <m:sSubPr>
                                <m:ctrlPr>
                                  <w:rPr>
                                    <w:rFonts w:ascii="Cambria Math" w:eastAsia="Times New Roman" w:hAnsi="Cambria Math" w:cs="Times New Roman"/>
                                    <w:i/>
                                    <w:sz w:val="28"/>
                                    <w:szCs w:val="24"/>
                                    <w:lang w:eastAsia="hu-HU"/>
                                  </w:rPr>
                                </m:ctrlPr>
                              </m:sSubPr>
                              <m:e>
                                <m:r>
                                  <w:rPr>
                                    <w:rFonts w:ascii="Cambria Math" w:eastAsia="Times New Roman" w:hAnsi="Cambria Math" w:cs="Times New Roman"/>
                                    <w:sz w:val="28"/>
                                    <w:szCs w:val="24"/>
                                    <w:lang w:eastAsia="hu-HU"/>
                                  </w:rPr>
                                  <m:t>X</m:t>
                                </m:r>
                              </m:e>
                              <m:sub>
                                <m:r>
                                  <w:rPr>
                                    <w:rFonts w:ascii="Cambria Math" w:eastAsia="Times New Roman" w:hAnsi="Cambria Math" w:cs="Times New Roman"/>
                                    <w:sz w:val="28"/>
                                    <w:szCs w:val="24"/>
                                    <w:lang w:eastAsia="hu-HU"/>
                                  </w:rPr>
                                  <m:t>1i</m:t>
                                </m:r>
                              </m:sub>
                            </m:sSub>
                          </m:e>
                        </m:d>
                      </m:e>
                    </m:mr>
                    <m:mr>
                      <m:e>
                        <m:r>
                          <w:rPr>
                            <w:rFonts w:ascii="Cambria Math" w:eastAsia="Times New Roman" w:hAnsi="Cambria Math" w:cs="Times New Roman"/>
                            <w:sz w:val="28"/>
                            <w:szCs w:val="24"/>
                          </w:rPr>
                          <m:t>⋮</m:t>
                        </m:r>
                      </m:e>
                    </m:mr>
                    <m:mr>
                      <m:e>
                        <m:sSub>
                          <m:sSubPr>
                            <m:ctrlPr>
                              <w:rPr>
                                <w:rFonts w:ascii="Cambria Math" w:eastAsia="Times New Roman" w:hAnsi="Cambria Math" w:cs="Times New Roman"/>
                                <w:i/>
                                <w:sz w:val="28"/>
                                <w:szCs w:val="24"/>
                                <w:lang w:eastAsia="hu-HU"/>
                              </w:rPr>
                            </m:ctrlPr>
                          </m:sSubPr>
                          <m:e>
                            <m:r>
                              <w:rPr>
                                <w:rFonts w:ascii="Cambria Math" w:eastAsia="Times New Roman" w:hAnsi="Cambria Math" w:cs="Times New Roman"/>
                                <w:sz w:val="28"/>
                                <w:szCs w:val="24"/>
                                <w:lang w:eastAsia="hu-HU"/>
                              </w:rPr>
                              <m:t>S</m:t>
                            </m:r>
                          </m:e>
                          <m:sub>
                            <m:r>
                              <w:rPr>
                                <w:rFonts w:ascii="Cambria Math" w:eastAsia="Times New Roman" w:hAnsi="Cambria Math" w:cs="Times New Roman"/>
                                <w:sz w:val="28"/>
                                <w:szCs w:val="24"/>
                                <w:lang w:eastAsia="hu-HU"/>
                              </w:rPr>
                              <m:t>i</m:t>
                            </m:r>
                          </m:sub>
                        </m:sSub>
                        <m:d>
                          <m:dPr>
                            <m:ctrlPr>
                              <w:rPr>
                                <w:rFonts w:ascii="Cambria Math" w:eastAsia="Times New Roman" w:hAnsi="Cambria Math" w:cs="Times New Roman"/>
                                <w:i/>
                                <w:sz w:val="28"/>
                                <w:szCs w:val="24"/>
                                <w:lang w:eastAsia="hu-HU"/>
                              </w:rPr>
                            </m:ctrlPr>
                          </m:dPr>
                          <m:e>
                            <m:sSub>
                              <m:sSubPr>
                                <m:ctrlPr>
                                  <w:rPr>
                                    <w:rFonts w:ascii="Cambria Math" w:eastAsia="Times New Roman" w:hAnsi="Cambria Math" w:cs="Times New Roman"/>
                                    <w:i/>
                                    <w:sz w:val="28"/>
                                    <w:szCs w:val="24"/>
                                    <w:lang w:eastAsia="hu-HU"/>
                                  </w:rPr>
                                </m:ctrlPr>
                              </m:sSubPr>
                              <m:e>
                                <m:r>
                                  <w:rPr>
                                    <w:rFonts w:ascii="Cambria Math" w:eastAsia="Times New Roman" w:hAnsi="Cambria Math" w:cs="Times New Roman"/>
                                    <w:sz w:val="28"/>
                                    <w:szCs w:val="24"/>
                                    <w:lang w:eastAsia="hu-HU"/>
                                  </w:rPr>
                                  <m:t>X</m:t>
                                </m:r>
                              </m:e>
                              <m:sub>
                                <m:r>
                                  <w:rPr>
                                    <w:rFonts w:ascii="Cambria Math" w:eastAsia="Times New Roman" w:hAnsi="Cambria Math" w:cs="Times New Roman"/>
                                    <w:sz w:val="28"/>
                                    <w:szCs w:val="24"/>
                                    <w:lang w:eastAsia="hu-HU"/>
                                  </w:rPr>
                                  <m:t>ni</m:t>
                                </m:r>
                              </m:sub>
                            </m:sSub>
                          </m:e>
                        </m:d>
                      </m:e>
                    </m:mr>
                  </m:m>
                </m:e>
              </m:d>
              <m:r>
                <w:rPr>
                  <w:rFonts w:ascii="Cambria Math" w:eastAsia="Times New Roman" w:hAnsi="Cambria Math" w:cs="Times New Roman"/>
                  <w:sz w:val="28"/>
                  <w:szCs w:val="24"/>
                  <w:lang w:eastAsia="hu-HU"/>
                </w:rPr>
                <m:t>+</m:t>
              </m:r>
              <m:d>
                <m:dPr>
                  <m:ctrlPr>
                    <w:rPr>
                      <w:rFonts w:ascii="Cambria Math" w:eastAsia="Times New Roman" w:hAnsi="Cambria Math" w:cs="Times New Roman"/>
                      <w:i/>
                      <w:sz w:val="28"/>
                      <w:szCs w:val="24"/>
                      <w:lang w:eastAsia="hu-HU"/>
                    </w:rPr>
                  </m:ctrlPr>
                </m:dPr>
                <m:e>
                  <m:m>
                    <m:mPr>
                      <m:mcs>
                        <m:mc>
                          <m:mcPr>
                            <m:count m:val="1"/>
                            <m:mcJc m:val="center"/>
                          </m:mcPr>
                        </m:mc>
                      </m:mcs>
                      <m:ctrlPr>
                        <w:rPr>
                          <w:rFonts w:ascii="Cambria Math" w:eastAsia="Times New Roman" w:hAnsi="Cambria Math" w:cs="Times New Roman"/>
                          <w:i/>
                          <w:sz w:val="28"/>
                          <w:szCs w:val="24"/>
                          <w:lang w:eastAsia="hu-HU"/>
                        </w:rPr>
                      </m:ctrlPr>
                    </m:mPr>
                    <m:mr>
                      <m:e>
                        <m:sSub>
                          <m:sSubPr>
                            <m:ctrlPr>
                              <w:rPr>
                                <w:rFonts w:ascii="Cambria Math" w:eastAsia="Times New Roman" w:hAnsi="Cambria Math" w:cs="Times New Roman"/>
                                <w:sz w:val="28"/>
                                <w:szCs w:val="24"/>
                                <w:lang w:eastAsia="hu-HU"/>
                              </w:rPr>
                            </m:ctrlPr>
                          </m:sSubPr>
                          <m:e>
                            <m:r>
                              <m:rPr>
                                <m:sty m:val="p"/>
                              </m:rPr>
                              <w:rPr>
                                <w:rFonts w:ascii="Cambria Math" w:eastAsia="Times New Roman" w:hAnsi="Cambria Math" w:cs="Times New Roman"/>
                                <w:sz w:val="28"/>
                                <w:szCs w:val="24"/>
                                <w:lang w:eastAsia="hu-HU"/>
                              </w:rPr>
                              <m:t>Δ</m:t>
                            </m:r>
                          </m:e>
                          <m:sub>
                            <m:r>
                              <w:rPr>
                                <w:rFonts w:ascii="Cambria Math" w:eastAsia="Times New Roman" w:hAnsi="Cambria Math" w:cs="Times New Roman"/>
                                <w:sz w:val="28"/>
                                <w:szCs w:val="24"/>
                                <w:lang w:eastAsia="hu-HU"/>
                              </w:rPr>
                              <m:t>1</m:t>
                            </m:r>
                          </m:sub>
                        </m:sSub>
                      </m:e>
                    </m:mr>
                    <m:mr>
                      <m:e>
                        <m:r>
                          <w:rPr>
                            <w:rFonts w:ascii="Cambria Math" w:eastAsia="Times New Roman" w:hAnsi="Cambria Math" w:cs="Times New Roman"/>
                            <w:sz w:val="28"/>
                            <w:szCs w:val="24"/>
                          </w:rPr>
                          <m:t>⋮</m:t>
                        </m:r>
                      </m:e>
                    </m:mr>
                    <m:mr>
                      <m:e>
                        <m:sSub>
                          <m:sSubPr>
                            <m:ctrlPr>
                              <w:rPr>
                                <w:rFonts w:ascii="Cambria Math" w:eastAsia="Times New Roman" w:hAnsi="Cambria Math" w:cs="Times New Roman"/>
                                <w:sz w:val="28"/>
                                <w:szCs w:val="24"/>
                                <w:lang w:eastAsia="hu-HU"/>
                              </w:rPr>
                            </m:ctrlPr>
                          </m:sSubPr>
                          <m:e>
                            <m:r>
                              <m:rPr>
                                <m:sty m:val="p"/>
                              </m:rPr>
                              <w:rPr>
                                <w:rFonts w:ascii="Cambria Math" w:eastAsia="Times New Roman" w:hAnsi="Cambria Math" w:cs="Times New Roman"/>
                                <w:sz w:val="28"/>
                                <w:szCs w:val="24"/>
                                <w:lang w:eastAsia="hu-HU"/>
                              </w:rPr>
                              <m:t>Δ</m:t>
                            </m:r>
                          </m:e>
                          <m:sub>
                            <m:r>
                              <w:rPr>
                                <w:rFonts w:ascii="Cambria Math" w:eastAsia="Times New Roman" w:hAnsi="Cambria Math" w:cs="Times New Roman"/>
                                <w:sz w:val="28"/>
                                <w:szCs w:val="24"/>
                                <w:lang w:eastAsia="hu-HU"/>
                              </w:rPr>
                              <m:t>n</m:t>
                            </m:r>
                          </m:sub>
                        </m:sSub>
                      </m:e>
                    </m:mr>
                  </m:m>
                </m:e>
              </m:d>
            </m:e>
          </m:nary>
        </m:oMath>
      </m:oMathPara>
    </w:p>
    <w:p w:rsidR="00111F9C" w:rsidRDefault="00136E70"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fenti egyenlet teljesül </w:t>
      </w:r>
      <w:r w:rsidR="005C5EF2">
        <w:rPr>
          <w:rFonts w:asciiTheme="majorHAnsi" w:eastAsia="Times New Roman" w:hAnsiTheme="majorHAnsi" w:cs="Times New Roman"/>
          <w:sz w:val="24"/>
          <w:szCs w:val="24"/>
          <w:lang w:eastAsia="hu-HU"/>
        </w:rPr>
        <w:t xml:space="preserve">az </w:t>
      </w:r>
      <m:oMath>
        <m:r>
          <w:rPr>
            <w:rFonts w:ascii="Cambria Math" w:eastAsia="Times New Roman" w:hAnsi="Cambria Math" w:cs="Times New Roman"/>
            <w:sz w:val="24"/>
            <w:szCs w:val="24"/>
            <w:lang w:eastAsia="hu-HU"/>
          </w:rPr>
          <m:t>n</m:t>
        </m:r>
      </m:oMath>
      <w:r w:rsidR="005C5EF2">
        <w:rPr>
          <w:rFonts w:asciiTheme="majorHAnsi" w:eastAsia="Times New Roman" w:hAnsiTheme="majorHAnsi" w:cs="Times New Roman"/>
          <w:sz w:val="24"/>
          <w:szCs w:val="24"/>
          <w:lang w:eastAsia="hu-HU"/>
        </w:rPr>
        <w:t xml:space="preserve"> objektum</w:t>
      </w:r>
      <w:r w:rsidR="009741CC">
        <w:rPr>
          <w:rFonts w:asciiTheme="majorHAnsi" w:eastAsia="Times New Roman" w:hAnsiTheme="majorHAnsi" w:cs="Times New Roman"/>
          <w:sz w:val="24"/>
          <w:szCs w:val="24"/>
          <w:lang w:eastAsia="hu-HU"/>
        </w:rPr>
        <w:t>ot tartalmazó vektor</w:t>
      </w:r>
      <w:r w:rsidR="005C5EF2">
        <w:rPr>
          <w:rFonts w:asciiTheme="majorHAnsi" w:eastAsia="Times New Roman" w:hAnsiTheme="majorHAnsi" w:cs="Times New Roman"/>
          <w:sz w:val="24"/>
          <w:szCs w:val="24"/>
          <w:lang w:eastAsia="hu-HU"/>
        </w:rPr>
        <w:t xml:space="preserve"> </w:t>
      </w:r>
      <w:r>
        <w:rPr>
          <w:rFonts w:asciiTheme="majorHAnsi" w:eastAsia="Times New Roman" w:hAnsiTheme="majorHAnsi" w:cs="Times New Roman"/>
          <w:sz w:val="24"/>
          <w:szCs w:val="24"/>
          <w:lang w:eastAsia="hu-HU"/>
        </w:rPr>
        <w:t>esetén, ahol a Delta hibatagok minimalizálása a becslést létrehozó modellalkotás célja.</w:t>
      </w:r>
    </w:p>
    <w:p w:rsidR="00136E70" w:rsidRDefault="005C5EF2"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 xml:space="preserve">A </w:t>
      </w:r>
      <w:proofErr w:type="spellStart"/>
      <w:r>
        <w:rPr>
          <w:rFonts w:asciiTheme="majorHAnsi" w:eastAsia="Times New Roman" w:hAnsiTheme="majorHAnsi" w:cs="Times New Roman"/>
          <w:sz w:val="24"/>
          <w:szCs w:val="24"/>
          <w:lang w:eastAsia="hu-HU"/>
        </w:rPr>
        <w:t>COCO-modellalkotás</w:t>
      </w:r>
      <w:proofErr w:type="spellEnd"/>
      <w:r>
        <w:rPr>
          <w:rFonts w:asciiTheme="majorHAnsi" w:eastAsia="Times New Roman" w:hAnsiTheme="majorHAnsi" w:cs="Times New Roman"/>
          <w:sz w:val="24"/>
          <w:szCs w:val="24"/>
          <w:lang w:eastAsia="hu-HU"/>
        </w:rPr>
        <w:t xml:space="preserve"> alapfeltétele az objektum–attribútum-mátrix </w:t>
      </w:r>
      <w:r w:rsidR="004E1030">
        <w:rPr>
          <w:rFonts w:asciiTheme="majorHAnsi" w:eastAsia="Times New Roman" w:hAnsiTheme="majorHAnsi" w:cs="Times New Roman"/>
          <w:sz w:val="24"/>
          <w:szCs w:val="24"/>
          <w:lang w:eastAsia="hu-HU"/>
        </w:rPr>
        <w:t xml:space="preserve">(OAM) </w:t>
      </w:r>
      <w:r>
        <w:rPr>
          <w:rFonts w:asciiTheme="majorHAnsi" w:eastAsia="Times New Roman" w:hAnsiTheme="majorHAnsi" w:cs="Times New Roman"/>
          <w:sz w:val="24"/>
          <w:szCs w:val="24"/>
          <w:lang w:eastAsia="hu-HU"/>
        </w:rPr>
        <w:t xml:space="preserve">megléte, melynek sorai az objektumok, oszlopai pedig a független és függő változók. </w:t>
      </w:r>
      <w:r w:rsidR="004E1030">
        <w:rPr>
          <w:rFonts w:asciiTheme="majorHAnsi" w:eastAsia="Times New Roman" w:hAnsiTheme="majorHAnsi" w:cs="Times New Roman"/>
          <w:sz w:val="24"/>
          <w:szCs w:val="24"/>
          <w:lang w:eastAsia="hu-HU"/>
        </w:rPr>
        <w:t xml:space="preserve">A nyers adatokat tartalmazó </w:t>
      </w:r>
      <w:proofErr w:type="spellStart"/>
      <w:r w:rsidR="004E1030">
        <w:rPr>
          <w:rFonts w:asciiTheme="majorHAnsi" w:eastAsia="Times New Roman" w:hAnsiTheme="majorHAnsi" w:cs="Times New Roman"/>
          <w:sz w:val="24"/>
          <w:szCs w:val="24"/>
          <w:lang w:eastAsia="hu-HU"/>
        </w:rPr>
        <w:t>OAM-ot</w:t>
      </w:r>
      <w:proofErr w:type="spellEnd"/>
      <w:r w:rsidR="004E1030">
        <w:rPr>
          <w:rFonts w:asciiTheme="majorHAnsi" w:eastAsia="Times New Roman" w:hAnsiTheme="majorHAnsi" w:cs="Times New Roman"/>
          <w:sz w:val="24"/>
          <w:szCs w:val="24"/>
          <w:lang w:eastAsia="hu-HU"/>
        </w:rPr>
        <w:t xml:space="preserve"> méretfüggetlenítés céljából sorszámozni szükséges, így minden objektum minden attribútuma az adott attribútum értékeinek sorában elfoglalt helyét kapja ebben a lépésben. A sorszámozás csökkenő vagy növekvő iránya attól függ, hogy az </w:t>
      </w:r>
      <m:oMath>
        <m:sSub>
          <m:sSubPr>
            <m:ctrlPr>
              <w:rPr>
                <w:rFonts w:ascii="Cambria Math" w:eastAsia="Times New Roman" w:hAnsi="Cambria Math" w:cs="Times New Roman"/>
                <w:i/>
                <w:sz w:val="24"/>
                <w:szCs w:val="24"/>
                <w:lang w:eastAsia="hu-HU"/>
              </w:rPr>
            </m:ctrlPr>
          </m:sSubPr>
          <m:e>
            <m:r>
              <w:rPr>
                <w:rFonts w:ascii="Cambria Math" w:eastAsia="Times New Roman" w:hAnsi="Cambria Math" w:cs="Times New Roman"/>
                <w:sz w:val="24"/>
                <w:szCs w:val="24"/>
                <w:lang w:eastAsia="hu-HU"/>
              </w:rPr>
              <m:t>X</m:t>
            </m:r>
          </m:e>
          <m:sub>
            <m:r>
              <w:rPr>
                <w:rFonts w:ascii="Cambria Math" w:eastAsia="Times New Roman" w:hAnsi="Cambria Math" w:cs="Times New Roman"/>
                <w:sz w:val="24"/>
                <w:szCs w:val="24"/>
                <w:lang w:eastAsia="hu-HU"/>
              </w:rPr>
              <m:t>i</m:t>
            </m:r>
          </m:sub>
        </m:sSub>
      </m:oMath>
      <w:r w:rsidR="004E1030">
        <w:rPr>
          <w:rFonts w:asciiTheme="majorHAnsi" w:eastAsia="Times New Roman" w:hAnsiTheme="majorHAnsi" w:cs="Times New Roman"/>
          <w:sz w:val="24"/>
          <w:szCs w:val="24"/>
          <w:lang w:eastAsia="hu-HU"/>
        </w:rPr>
        <w:t xml:space="preserve"> </w:t>
      </w:r>
      <w:r w:rsidR="00B75615">
        <w:rPr>
          <w:rFonts w:asciiTheme="majorHAnsi" w:eastAsia="Times New Roman" w:hAnsiTheme="majorHAnsi" w:cs="Times New Roman"/>
          <w:sz w:val="24"/>
          <w:szCs w:val="24"/>
          <w:lang w:eastAsia="hu-HU"/>
        </w:rPr>
        <w:t xml:space="preserve">tényleges és az </w:t>
      </w:r>
      <m:oMath>
        <m:r>
          <w:rPr>
            <w:rFonts w:ascii="Cambria Math" w:eastAsia="Times New Roman" w:hAnsi="Cambria Math" w:cs="Times New Roman"/>
            <w:sz w:val="24"/>
            <w:szCs w:val="24"/>
            <w:lang w:eastAsia="hu-HU"/>
          </w:rPr>
          <m:t>Y</m:t>
        </m:r>
      </m:oMath>
      <w:r w:rsidR="00B75615">
        <w:rPr>
          <w:rFonts w:asciiTheme="majorHAnsi" w:eastAsia="Times New Roman" w:hAnsiTheme="majorHAnsi" w:cs="Times New Roman"/>
          <w:sz w:val="24"/>
          <w:szCs w:val="24"/>
          <w:lang w:eastAsia="hu-HU"/>
        </w:rPr>
        <w:t xml:space="preserve"> (szakirodalmi adatok vagy az elemző saját mérlegelése alapján) elvárt </w:t>
      </w:r>
      <w:r w:rsidR="005277E7">
        <w:rPr>
          <w:rFonts w:asciiTheme="majorHAnsi" w:eastAsia="Times New Roman" w:hAnsiTheme="majorHAnsi" w:cs="Times New Roman"/>
          <w:sz w:val="24"/>
          <w:szCs w:val="24"/>
          <w:lang w:eastAsia="hu-HU"/>
        </w:rPr>
        <w:t>értéke</w:t>
      </w:r>
      <w:r w:rsidR="00B75615">
        <w:rPr>
          <w:rFonts w:asciiTheme="majorHAnsi" w:eastAsia="Times New Roman" w:hAnsiTheme="majorHAnsi" w:cs="Times New Roman"/>
          <w:sz w:val="24"/>
          <w:szCs w:val="24"/>
          <w:lang w:eastAsia="hu-HU"/>
        </w:rPr>
        <w:t>i</w:t>
      </w:r>
      <w:r w:rsidR="005277E7">
        <w:rPr>
          <w:rFonts w:asciiTheme="majorHAnsi" w:eastAsia="Times New Roman" w:hAnsiTheme="majorHAnsi" w:cs="Times New Roman"/>
          <w:sz w:val="24"/>
          <w:szCs w:val="24"/>
          <w:lang w:eastAsia="hu-HU"/>
        </w:rPr>
        <w:t xml:space="preserve"> közötti korreláció pozitív vagy negatív.</w:t>
      </w:r>
    </w:p>
    <w:p w:rsidR="00C81DA8" w:rsidRDefault="00D3696B"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lépcsők száma a modellekben alapértelmezés szerint az objektumok száma, így egy adott attribútum minden lehetséges rangsorszámához </w:t>
      </w:r>
      <w:r w:rsidR="00D24378">
        <w:rPr>
          <w:rFonts w:asciiTheme="majorHAnsi" w:eastAsia="Times New Roman" w:hAnsiTheme="majorHAnsi" w:cs="Times New Roman"/>
          <w:sz w:val="24"/>
          <w:szCs w:val="24"/>
          <w:lang w:eastAsia="hu-HU"/>
        </w:rPr>
        <w:t>van mód</w:t>
      </w:r>
      <w:r>
        <w:rPr>
          <w:rFonts w:asciiTheme="majorHAnsi" w:eastAsia="Times New Roman" w:hAnsiTheme="majorHAnsi" w:cs="Times New Roman"/>
          <w:sz w:val="24"/>
          <w:szCs w:val="24"/>
          <w:lang w:eastAsia="hu-HU"/>
        </w:rPr>
        <w:t xml:space="preserve"> önálló lépcsőértéket társítani, azonban speciális esetekben, amikor az objektumok között sok, egy-egy attribútumon belül azonos sorszámmal rendelkező fordul elő</w:t>
      </w:r>
      <w:r w:rsidR="00D24378">
        <w:rPr>
          <w:rFonts w:asciiTheme="majorHAnsi" w:eastAsia="Times New Roman" w:hAnsiTheme="majorHAnsi" w:cs="Times New Roman"/>
          <w:sz w:val="24"/>
          <w:szCs w:val="24"/>
          <w:lang w:eastAsia="hu-HU"/>
        </w:rPr>
        <w:t xml:space="preserve"> (például már az attribútumok maguk osztályzatok, amelyek különböző értékei eredendően is korlátozott számban fordulnak csak elő)</w:t>
      </w:r>
      <w:r>
        <w:rPr>
          <w:rFonts w:asciiTheme="majorHAnsi" w:eastAsia="Times New Roman" w:hAnsiTheme="majorHAnsi" w:cs="Times New Roman"/>
          <w:sz w:val="24"/>
          <w:szCs w:val="24"/>
          <w:lang w:eastAsia="hu-HU"/>
        </w:rPr>
        <w:t xml:space="preserve">, mesterségesen lehetséges csökkenteni </w:t>
      </w:r>
      <w:r w:rsidR="00D24378">
        <w:rPr>
          <w:rFonts w:asciiTheme="majorHAnsi" w:eastAsia="Times New Roman" w:hAnsiTheme="majorHAnsi" w:cs="Times New Roman"/>
          <w:sz w:val="24"/>
          <w:szCs w:val="24"/>
          <w:lang w:eastAsia="hu-HU"/>
        </w:rPr>
        <w:t>a lépcsők számát.</w:t>
      </w:r>
      <w:r>
        <w:rPr>
          <w:rFonts w:asciiTheme="majorHAnsi" w:eastAsia="Times New Roman" w:hAnsiTheme="majorHAnsi" w:cs="Times New Roman"/>
          <w:sz w:val="24"/>
          <w:szCs w:val="24"/>
          <w:lang w:eastAsia="hu-HU"/>
        </w:rPr>
        <w:t xml:space="preserve"> </w:t>
      </w:r>
      <w:r w:rsidR="00D24378">
        <w:rPr>
          <w:rFonts w:asciiTheme="majorHAnsi" w:eastAsia="Times New Roman" w:hAnsiTheme="majorHAnsi" w:cs="Times New Roman"/>
          <w:sz w:val="24"/>
          <w:szCs w:val="24"/>
          <w:lang w:eastAsia="hu-HU"/>
        </w:rPr>
        <w:t>E</w:t>
      </w:r>
      <w:r>
        <w:rPr>
          <w:rFonts w:asciiTheme="majorHAnsi" w:eastAsia="Times New Roman" w:hAnsiTheme="majorHAnsi" w:cs="Times New Roman"/>
          <w:sz w:val="24"/>
          <w:szCs w:val="24"/>
          <w:lang w:eastAsia="hu-HU"/>
        </w:rPr>
        <w:t xml:space="preserve">zzel </w:t>
      </w:r>
      <w:r w:rsidR="00934225">
        <w:rPr>
          <w:rFonts w:asciiTheme="majorHAnsi" w:eastAsia="Times New Roman" w:hAnsiTheme="majorHAnsi" w:cs="Times New Roman"/>
          <w:sz w:val="24"/>
          <w:szCs w:val="24"/>
          <w:lang w:eastAsia="hu-HU"/>
        </w:rPr>
        <w:t xml:space="preserve">(a fajlagos számítási igény csökkenése miatt) a </w:t>
      </w:r>
      <w:r>
        <w:rPr>
          <w:rFonts w:asciiTheme="majorHAnsi" w:eastAsia="Times New Roman" w:hAnsiTheme="majorHAnsi" w:cs="Times New Roman"/>
          <w:sz w:val="24"/>
          <w:szCs w:val="24"/>
          <w:lang w:eastAsia="hu-HU"/>
        </w:rPr>
        <w:t>gyakorlatban futtatható mátrixok mérete növelhető.</w:t>
      </w:r>
    </w:p>
    <w:p w:rsidR="00942623" w:rsidRDefault="003024FF"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felhasználás céljától függően különböző </w:t>
      </w:r>
      <w:proofErr w:type="spellStart"/>
      <w:r>
        <w:rPr>
          <w:rFonts w:asciiTheme="majorHAnsi" w:eastAsia="Times New Roman" w:hAnsiTheme="majorHAnsi" w:cs="Times New Roman"/>
          <w:sz w:val="24"/>
          <w:szCs w:val="24"/>
          <w:lang w:eastAsia="hu-HU"/>
        </w:rPr>
        <w:t>COCO-módszerek</w:t>
      </w:r>
      <w:proofErr w:type="spellEnd"/>
      <w:r>
        <w:rPr>
          <w:rFonts w:asciiTheme="majorHAnsi" w:eastAsia="Times New Roman" w:hAnsiTheme="majorHAnsi" w:cs="Times New Roman"/>
          <w:sz w:val="24"/>
          <w:szCs w:val="24"/>
          <w:lang w:eastAsia="hu-HU"/>
        </w:rPr>
        <w:t xml:space="preserve"> érhetők el, melyek között alapvetően szükséges megkülönböztetni a COCO-STD (standard hasonlóságelemzés) és a COCO-Y0 (antidiszkriminatív hasonlóságelemzés) típusokat. </w:t>
      </w:r>
      <w:r w:rsidR="002B2A49">
        <w:rPr>
          <w:rFonts w:asciiTheme="majorHAnsi" w:eastAsia="Times New Roman" w:hAnsiTheme="majorHAnsi" w:cs="Times New Roman"/>
          <w:sz w:val="24"/>
          <w:szCs w:val="24"/>
          <w:lang w:eastAsia="hu-HU"/>
        </w:rPr>
        <w:t xml:space="preserve">A </w:t>
      </w:r>
      <w:proofErr w:type="spellStart"/>
      <w:r w:rsidR="002B2A49">
        <w:rPr>
          <w:rFonts w:asciiTheme="majorHAnsi" w:eastAsia="Times New Roman" w:hAnsiTheme="majorHAnsi" w:cs="Times New Roman"/>
          <w:sz w:val="24"/>
          <w:szCs w:val="24"/>
          <w:lang w:eastAsia="hu-HU"/>
        </w:rPr>
        <w:t>STD-modellek</w:t>
      </w:r>
      <w:proofErr w:type="spellEnd"/>
      <w:r w:rsidR="002B2A49">
        <w:rPr>
          <w:rFonts w:asciiTheme="majorHAnsi" w:eastAsia="Times New Roman" w:hAnsiTheme="majorHAnsi" w:cs="Times New Roman"/>
          <w:sz w:val="24"/>
          <w:szCs w:val="24"/>
          <w:lang w:eastAsia="hu-HU"/>
        </w:rPr>
        <w:t xml:space="preserve"> esetében a függő változó értéke valamely eleve adott mennyiség, például egy termék ára, és ennek a mutatószámnak a levezethetőségét vizsgálja a modellalkotás. Ezzel a modellel tipikusan olyan kérdésekre lehet választ keresni, hogy található-e </w:t>
      </w:r>
      <w:r w:rsidR="00942623">
        <w:rPr>
          <w:rFonts w:asciiTheme="majorHAnsi" w:eastAsia="Times New Roman" w:hAnsiTheme="majorHAnsi" w:cs="Times New Roman"/>
          <w:sz w:val="24"/>
          <w:szCs w:val="24"/>
          <w:lang w:eastAsia="hu-HU"/>
        </w:rPr>
        <w:t>a termékek között alul-, esetleg túlárazott.</w:t>
      </w:r>
    </w:p>
    <w:p w:rsidR="00D3696B" w:rsidRDefault="00942623"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Y0-modell elnevezésé</w:t>
      </w:r>
      <w:r w:rsidR="00992E9C">
        <w:rPr>
          <w:rFonts w:asciiTheme="majorHAnsi" w:eastAsia="Times New Roman" w:hAnsiTheme="majorHAnsi" w:cs="Times New Roman"/>
          <w:sz w:val="24"/>
          <w:szCs w:val="24"/>
          <w:lang w:eastAsia="hu-HU"/>
        </w:rPr>
        <w:t>nek alapját az a meglátás adja</w:t>
      </w:r>
      <w:r>
        <w:rPr>
          <w:rFonts w:asciiTheme="majorHAnsi" w:eastAsia="Times New Roman" w:hAnsiTheme="majorHAnsi" w:cs="Times New Roman"/>
          <w:sz w:val="24"/>
          <w:szCs w:val="24"/>
          <w:lang w:eastAsia="hu-HU"/>
        </w:rPr>
        <w:t xml:space="preserve">, hogy a függő változó értéke itt lényegében nulla (az </w:t>
      </w:r>
      <w:proofErr w:type="spellStart"/>
      <w:r>
        <w:rPr>
          <w:rFonts w:asciiTheme="majorHAnsi" w:eastAsia="Times New Roman" w:hAnsiTheme="majorHAnsi" w:cs="Times New Roman"/>
          <w:sz w:val="24"/>
          <w:szCs w:val="24"/>
          <w:lang w:eastAsia="hu-HU"/>
        </w:rPr>
        <w:t>LP-módszer</w:t>
      </w:r>
      <w:proofErr w:type="spellEnd"/>
      <w:r>
        <w:rPr>
          <w:rFonts w:asciiTheme="majorHAnsi" w:eastAsia="Times New Roman" w:hAnsiTheme="majorHAnsi" w:cs="Times New Roman"/>
          <w:sz w:val="24"/>
          <w:szCs w:val="24"/>
          <w:lang w:eastAsia="hu-HU"/>
        </w:rPr>
        <w:t xml:space="preserve"> technikai megszorításaiból adódóan valójában egy nagy konstans érték, az ún. </w:t>
      </w:r>
      <w:r w:rsidR="00A33ACD">
        <w:rPr>
          <w:rFonts w:asciiTheme="majorHAnsi" w:eastAsia="Times New Roman" w:hAnsiTheme="majorHAnsi" w:cs="Times New Roman"/>
          <w:sz w:val="24"/>
          <w:szCs w:val="24"/>
          <w:lang w:eastAsia="hu-HU"/>
        </w:rPr>
        <w:t>norma</w:t>
      </w:r>
      <w:r>
        <w:rPr>
          <w:rFonts w:asciiTheme="majorHAnsi" w:eastAsia="Times New Roman" w:hAnsiTheme="majorHAnsi" w:cs="Times New Roman"/>
          <w:sz w:val="24"/>
          <w:szCs w:val="24"/>
          <w:lang w:eastAsia="hu-HU"/>
        </w:rPr>
        <w:t xml:space="preserve">-pontszám), amelytől a pozitív, illetve negatív irányú eltérés ténye és mértéke </w:t>
      </w:r>
      <w:r w:rsidR="00992E9C">
        <w:rPr>
          <w:rFonts w:asciiTheme="majorHAnsi" w:eastAsia="Times New Roman" w:hAnsiTheme="majorHAnsi" w:cs="Times New Roman"/>
          <w:sz w:val="24"/>
          <w:szCs w:val="24"/>
          <w:lang w:eastAsia="hu-HU"/>
        </w:rPr>
        <w:t>szolgáltat információt</w:t>
      </w:r>
      <w:r>
        <w:rPr>
          <w:rFonts w:asciiTheme="majorHAnsi" w:eastAsia="Times New Roman" w:hAnsiTheme="majorHAnsi" w:cs="Times New Roman"/>
          <w:sz w:val="24"/>
          <w:szCs w:val="24"/>
          <w:lang w:eastAsia="hu-HU"/>
        </w:rPr>
        <w:t xml:space="preserve">. </w:t>
      </w:r>
      <w:r w:rsidR="00A33ACD">
        <w:rPr>
          <w:rFonts w:asciiTheme="majorHAnsi" w:eastAsia="Times New Roman" w:hAnsiTheme="majorHAnsi" w:cs="Times New Roman"/>
          <w:sz w:val="24"/>
          <w:szCs w:val="24"/>
          <w:lang w:eastAsia="hu-HU"/>
        </w:rPr>
        <w:t>A modell alkalmazásával összefüggő kérdés a következő: „lehet</w:t>
      </w:r>
      <w:r w:rsidR="00A33ACD">
        <w:rPr>
          <w:rFonts w:asciiTheme="majorHAnsi" w:eastAsia="Times New Roman" w:hAnsiTheme="majorHAnsi" w:cs="Times New Roman"/>
          <w:sz w:val="24"/>
          <w:szCs w:val="24"/>
          <w:lang w:eastAsia="hu-HU"/>
        </w:rPr>
        <w:noBreakHyphen/>
        <w:t>e minden objektum másként egyforma?”, az antidiszkriminatív elnevezést pedig az indokolja, hogy ebben a modellben hibátlan becslés akkor keletkezik, ha létezik a lépcsősfüggvényeknek egy olyan halmaza, amelyek alkalmazásával minden objektum becsült pontszáma egyformán a norma</w:t>
      </w:r>
      <w:r w:rsidR="0014363A">
        <w:rPr>
          <w:rFonts w:asciiTheme="majorHAnsi" w:eastAsia="Times New Roman" w:hAnsiTheme="majorHAnsi" w:cs="Times New Roman"/>
          <w:sz w:val="24"/>
          <w:szCs w:val="24"/>
          <w:lang w:eastAsia="hu-HU"/>
        </w:rPr>
        <w:t>-pontszám.</w:t>
      </w:r>
    </w:p>
    <w:p w:rsidR="009A65CF" w:rsidRDefault="00D4750F"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A hasonlóságelemzési modell speciális jóságmutatója az inverz tesztelés. Ebben az esetben az eredeti attribútum-értékeket fordított irányítás mellett sorszámozva kerül sor a</w:t>
      </w:r>
      <w:r w:rsidR="0050766C">
        <w:rPr>
          <w:rFonts w:asciiTheme="majorHAnsi" w:eastAsia="Times New Roman" w:hAnsiTheme="majorHAnsi" w:cs="Times New Roman"/>
          <w:sz w:val="24"/>
          <w:szCs w:val="24"/>
          <w:lang w:eastAsia="hu-HU"/>
        </w:rPr>
        <w:t>z (azonos modell)</w:t>
      </w:r>
      <w:r>
        <w:rPr>
          <w:rFonts w:asciiTheme="majorHAnsi" w:eastAsia="Times New Roman" w:hAnsiTheme="majorHAnsi" w:cs="Times New Roman"/>
          <w:sz w:val="24"/>
          <w:szCs w:val="24"/>
          <w:lang w:eastAsia="hu-HU"/>
        </w:rPr>
        <w:t xml:space="preserve"> futtatás</w:t>
      </w:r>
      <w:r w:rsidR="0050766C">
        <w:rPr>
          <w:rFonts w:asciiTheme="majorHAnsi" w:eastAsia="Times New Roman" w:hAnsiTheme="majorHAnsi" w:cs="Times New Roman"/>
          <w:sz w:val="24"/>
          <w:szCs w:val="24"/>
          <w:lang w:eastAsia="hu-HU"/>
        </w:rPr>
        <w:t>á</w:t>
      </w:r>
      <w:r>
        <w:rPr>
          <w:rFonts w:asciiTheme="majorHAnsi" w:eastAsia="Times New Roman" w:hAnsiTheme="majorHAnsi" w:cs="Times New Roman"/>
          <w:sz w:val="24"/>
          <w:szCs w:val="24"/>
          <w:lang w:eastAsia="hu-HU"/>
        </w:rPr>
        <w:t xml:space="preserve">ra, s azon objektumok esetében tekinthető </w:t>
      </w:r>
      <w:proofErr w:type="spellStart"/>
      <w:r>
        <w:rPr>
          <w:rFonts w:asciiTheme="majorHAnsi" w:eastAsia="Times New Roman" w:hAnsiTheme="majorHAnsi" w:cs="Times New Roman"/>
          <w:sz w:val="24"/>
          <w:szCs w:val="24"/>
          <w:lang w:eastAsia="hu-HU"/>
        </w:rPr>
        <w:t>validnak</w:t>
      </w:r>
      <w:proofErr w:type="spellEnd"/>
      <w:r>
        <w:rPr>
          <w:rFonts w:asciiTheme="majorHAnsi" w:eastAsia="Times New Roman" w:hAnsiTheme="majorHAnsi" w:cs="Times New Roman"/>
          <w:sz w:val="24"/>
          <w:szCs w:val="24"/>
          <w:lang w:eastAsia="hu-HU"/>
        </w:rPr>
        <w:t xml:space="preserve"> az eredeti hasonlóságelemzés, ahol a normál és az inverz Delta </w:t>
      </w:r>
      <w:r w:rsidR="00E72216">
        <w:rPr>
          <w:rFonts w:asciiTheme="majorHAnsi" w:eastAsia="Times New Roman" w:hAnsiTheme="majorHAnsi" w:cs="Times New Roman"/>
          <w:sz w:val="24"/>
          <w:szCs w:val="24"/>
          <w:lang w:eastAsia="hu-HU"/>
        </w:rPr>
        <w:t>szorzata negatív (</w:t>
      </w:r>
      <w:r>
        <w:rPr>
          <w:rFonts w:asciiTheme="majorHAnsi" w:eastAsia="Times New Roman" w:hAnsiTheme="majorHAnsi" w:cs="Times New Roman"/>
          <w:sz w:val="24"/>
          <w:szCs w:val="24"/>
          <w:lang w:eastAsia="hu-HU"/>
        </w:rPr>
        <w:t xml:space="preserve">előjele </w:t>
      </w:r>
      <w:proofErr w:type="gramStart"/>
      <w:r>
        <w:rPr>
          <w:rFonts w:asciiTheme="majorHAnsi" w:eastAsia="Times New Roman" w:hAnsiTheme="majorHAnsi" w:cs="Times New Roman"/>
          <w:sz w:val="24"/>
          <w:szCs w:val="24"/>
          <w:lang w:eastAsia="hu-HU"/>
        </w:rPr>
        <w:t>ellentétes</w:t>
      </w:r>
      <w:r>
        <w:rPr>
          <w:rStyle w:val="Lbjegyzet-hivatkozs"/>
          <w:rFonts w:asciiTheme="majorHAnsi" w:eastAsia="Times New Roman" w:hAnsiTheme="majorHAnsi" w:cs="Times New Roman"/>
          <w:sz w:val="24"/>
          <w:szCs w:val="24"/>
          <w:lang w:eastAsia="hu-HU"/>
        </w:rPr>
        <w:footnoteReference w:id="2"/>
      </w:r>
      <w:r w:rsidR="00E72216">
        <w:rPr>
          <w:rFonts w:asciiTheme="majorHAnsi" w:eastAsia="Times New Roman" w:hAnsiTheme="majorHAnsi" w:cs="Times New Roman"/>
          <w:sz w:val="24"/>
          <w:szCs w:val="24"/>
          <w:lang w:eastAsia="hu-HU"/>
        </w:rPr>
        <w:t>)</w:t>
      </w:r>
      <w:r>
        <w:rPr>
          <w:rFonts w:asciiTheme="majorHAnsi" w:eastAsia="Times New Roman" w:hAnsiTheme="majorHAnsi" w:cs="Times New Roman"/>
          <w:sz w:val="24"/>
          <w:szCs w:val="24"/>
          <w:lang w:eastAsia="hu-HU"/>
        </w:rPr>
        <w:t>.</w:t>
      </w:r>
      <w:proofErr w:type="gramEnd"/>
    </w:p>
    <w:p w:rsidR="0050766C" w:rsidRDefault="00B3436F" w:rsidP="00B3436F">
      <w:pPr>
        <w:pStyle w:val="Cmsor1"/>
      </w:pPr>
      <w:bookmarkStart w:id="7" w:name="_Toc503091298"/>
      <w:r>
        <w:t>Az elemzés végrehajtása</w:t>
      </w:r>
      <w:bookmarkEnd w:id="7"/>
    </w:p>
    <w:p w:rsidR="00B3436F" w:rsidRDefault="001229E3"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Amint az adatok bemutatásánál látható volt, az elemzés során az érettségi eredmények további feldolgozására nem volt szükség, az adatokkal való manipuláció az egyetemi indexkivonatokat érintette.</w:t>
      </w:r>
    </w:p>
    <w:p w:rsidR="00290F4D" w:rsidRDefault="00290F4D" w:rsidP="003F7DAA">
      <w:pPr>
        <w:pStyle w:val="Cmsor2"/>
      </w:pPr>
      <w:bookmarkStart w:id="8" w:name="_Toc503091299"/>
      <w:r>
        <w:t>Az adatok tisztítása</w:t>
      </w:r>
      <w:bookmarkEnd w:id="8"/>
    </w:p>
    <w:p w:rsidR="00290F4D" w:rsidRDefault="00635EF6"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egyetemi eredmények egyetlen, 5396 sorból álló táblázatban voltak tárolva</w:t>
      </w:r>
      <w:r w:rsidR="00434FEB">
        <w:rPr>
          <w:rFonts w:asciiTheme="majorHAnsi" w:eastAsia="Times New Roman" w:hAnsiTheme="majorHAnsi" w:cs="Times New Roman"/>
          <w:sz w:val="24"/>
          <w:szCs w:val="24"/>
          <w:lang w:eastAsia="hu-HU"/>
        </w:rPr>
        <w:t xml:space="preserve">. Ez hallgatónként átlagosan kb. 39 bejegyzést jelent, azonban az erős lemorzsolódás miatt az egyes hallgatókra jutó teljesítések és teljesítési kísérletek száma szélsőséges ingadozást mutat. Az egy hallgatóra jutó bejegyzések maximális száma 67, és 20-nál több bejegyzéssel 98 hallgató (71%) rendelkezik – nagyságrendileg ennyi tehát azok aránya, akik egy évet meghaladó időt töltöttek a szakon. </w:t>
      </w:r>
      <w:r w:rsidR="00723352">
        <w:rPr>
          <w:rFonts w:asciiTheme="majorHAnsi" w:eastAsia="Times New Roman" w:hAnsiTheme="majorHAnsi" w:cs="Times New Roman"/>
          <w:sz w:val="24"/>
          <w:szCs w:val="24"/>
          <w:lang w:eastAsia="hu-HU"/>
        </w:rPr>
        <w:t xml:space="preserve">Az első év abból a szempontból is jelentős mérföldkő, hogy a kritérium teszt teljesítésére a második félév végéig van lehetősége a hallgatóknak, s ha </w:t>
      </w:r>
      <w:proofErr w:type="gramStart"/>
      <w:r w:rsidR="00723352">
        <w:rPr>
          <w:rFonts w:asciiTheme="majorHAnsi" w:eastAsia="Times New Roman" w:hAnsiTheme="majorHAnsi" w:cs="Times New Roman"/>
          <w:sz w:val="24"/>
          <w:szCs w:val="24"/>
          <w:lang w:eastAsia="hu-HU"/>
        </w:rPr>
        <w:t>ezalatt</w:t>
      </w:r>
      <w:proofErr w:type="gramEnd"/>
      <w:r w:rsidR="00723352">
        <w:rPr>
          <w:rFonts w:asciiTheme="majorHAnsi" w:eastAsia="Times New Roman" w:hAnsiTheme="majorHAnsi" w:cs="Times New Roman"/>
          <w:sz w:val="24"/>
          <w:szCs w:val="24"/>
          <w:lang w:eastAsia="hu-HU"/>
        </w:rPr>
        <w:t xml:space="preserve"> nem sikerült megfelelt minősítést szerezniük, elbocsátásra kerülnek a szakról.</w:t>
      </w:r>
    </w:p>
    <w:p w:rsidR="00723352" w:rsidRDefault="00E63AC5"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indexekben nem teljesített, illetve elhagyott tanegységként (amelynek a teljesítését meg sem kísérelte a hallgató, tehát elégtelen / nem felelt meg minősítés bejegyzésére sem került sor) 21 hallgatónál (15%) szerepel a kritériumtárgy az első két félévben, ami azt jelenti, hogy körülbelül még egyszer ennyi hallgató a kritériumtárgy teljesítése ellenére kiszóródott a képzésről.</w:t>
      </w:r>
      <w:r w:rsidR="00584E4F">
        <w:rPr>
          <w:rFonts w:asciiTheme="majorHAnsi" w:eastAsia="Times New Roman" w:hAnsiTheme="majorHAnsi" w:cs="Times New Roman"/>
          <w:sz w:val="24"/>
          <w:szCs w:val="24"/>
          <w:lang w:eastAsia="hu-HU"/>
        </w:rPr>
        <w:t xml:space="preserve"> Ezek a hallgatók egy kivételével </w:t>
      </w:r>
      <w:r w:rsidR="00C945FB">
        <w:rPr>
          <w:rFonts w:asciiTheme="majorHAnsi" w:eastAsia="Times New Roman" w:hAnsiTheme="majorHAnsi" w:cs="Times New Roman"/>
          <w:sz w:val="24"/>
          <w:szCs w:val="24"/>
          <w:lang w:eastAsia="hu-HU"/>
        </w:rPr>
        <w:t xml:space="preserve">szintén </w:t>
      </w:r>
      <w:r w:rsidR="00584E4F">
        <w:rPr>
          <w:rFonts w:asciiTheme="majorHAnsi" w:eastAsia="Times New Roman" w:hAnsiTheme="majorHAnsi" w:cs="Times New Roman"/>
          <w:sz w:val="24"/>
          <w:szCs w:val="24"/>
          <w:lang w:eastAsia="hu-HU"/>
        </w:rPr>
        <w:t>igen gyengén teljesítettek (átlagosan 8,5 bejegyzés, teljesített tárgyaik átlaga 2,5), és a teljes mintában található öt olyan hallgató közül, aki régi rendszerű érettségivel felvételizett, négy közöttük van, az ötödik hallgató pedig egyáltalán nem teljesített tárgyat.</w:t>
      </w:r>
    </w:p>
    <w:p w:rsidR="00C945FB" w:rsidRDefault="0091475A"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A hallgatók, illetve a bejegyzések magas összesített száma mellett az egyetlen táblázatban tárolt adatok a tárgyak kezelése kapcsán is problémákat vetnek fel: 348 db egyedi tárgynév, illetve 411 db egyedi tárgykód található a listában, melyek között sok az olyan, szabadon választható tárgyat, melyet csak igen kevesen teljesítettek. Az egyértelműen a Matematika Intézethez tartozó tárgykódok száma 236 db, azonban az azonos tárgyhoz tartozó eltérő szintek / változatok</w:t>
      </w:r>
      <w:r>
        <w:rPr>
          <w:rStyle w:val="Lbjegyzet-hivatkozs"/>
          <w:rFonts w:asciiTheme="majorHAnsi" w:eastAsia="Times New Roman" w:hAnsiTheme="majorHAnsi" w:cs="Times New Roman"/>
          <w:sz w:val="24"/>
          <w:szCs w:val="24"/>
          <w:lang w:eastAsia="hu-HU"/>
        </w:rPr>
        <w:footnoteReference w:id="3"/>
      </w:r>
      <w:r>
        <w:rPr>
          <w:rFonts w:asciiTheme="majorHAnsi" w:eastAsia="Times New Roman" w:hAnsiTheme="majorHAnsi" w:cs="Times New Roman"/>
          <w:sz w:val="24"/>
          <w:szCs w:val="24"/>
          <w:lang w:eastAsia="hu-HU"/>
        </w:rPr>
        <w:t xml:space="preserve"> egyesítés</w:t>
      </w:r>
      <w:r w:rsidR="002228E3">
        <w:rPr>
          <w:rFonts w:asciiTheme="majorHAnsi" w:eastAsia="Times New Roman" w:hAnsiTheme="majorHAnsi" w:cs="Times New Roman"/>
          <w:sz w:val="24"/>
          <w:szCs w:val="24"/>
          <w:lang w:eastAsia="hu-HU"/>
        </w:rPr>
        <w:t>ével, összevonásával ez még csökkenthető volt.</w:t>
      </w:r>
    </w:p>
    <w:p w:rsidR="00E3165D" w:rsidRDefault="007478C9"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adatokat áttekintve úgy döntöttem, hogy a pilot-elemzés során kizárólag a matematika alapszak első félévében mintatanterv szerint kötelező tárgyak esetébe</w:t>
      </w:r>
      <w:r w:rsidR="00E3165D">
        <w:rPr>
          <w:rFonts w:asciiTheme="majorHAnsi" w:eastAsia="Times New Roman" w:hAnsiTheme="majorHAnsi" w:cs="Times New Roman"/>
          <w:sz w:val="24"/>
          <w:szCs w:val="24"/>
          <w:lang w:eastAsia="hu-HU"/>
        </w:rPr>
        <w:t>n vizsgálom a teljesítést. Az elemzésbe vont tárgyak a következők voltak:</w:t>
      </w:r>
    </w:p>
    <w:p w:rsidR="00E3165D" w:rsidRDefault="00E3165D" w:rsidP="00E3165D">
      <w:pPr>
        <w:pStyle w:val="Listaszerbekezds"/>
        <w:numPr>
          <w:ilvl w:val="0"/>
          <w:numId w:val="1"/>
        </w:numPr>
        <w:spacing w:after="240" w:line="360" w:lineRule="auto"/>
        <w:jc w:val="both"/>
        <w:rPr>
          <w:rFonts w:asciiTheme="majorHAnsi" w:eastAsia="Times New Roman" w:hAnsiTheme="majorHAnsi" w:cs="Times New Roman"/>
          <w:sz w:val="24"/>
          <w:szCs w:val="24"/>
          <w:lang w:eastAsia="hu-HU"/>
        </w:rPr>
      </w:pPr>
      <w:r w:rsidRPr="00E3165D">
        <w:rPr>
          <w:rFonts w:asciiTheme="majorHAnsi" w:eastAsia="Times New Roman" w:hAnsiTheme="majorHAnsi" w:cs="Times New Roman"/>
          <w:sz w:val="24"/>
          <w:szCs w:val="24"/>
          <w:lang w:eastAsia="hu-HU"/>
        </w:rPr>
        <w:t>matematika</w:t>
      </w:r>
      <w:r>
        <w:rPr>
          <w:rFonts w:asciiTheme="majorHAnsi" w:eastAsia="Times New Roman" w:hAnsiTheme="majorHAnsi" w:cs="Times New Roman"/>
          <w:sz w:val="24"/>
          <w:szCs w:val="24"/>
          <w:lang w:eastAsia="hu-HU"/>
        </w:rPr>
        <w:t xml:space="preserve"> kritériumtárgy</w:t>
      </w:r>
    </w:p>
    <w:p w:rsidR="00E3165D" w:rsidRDefault="00E3165D" w:rsidP="00E3165D">
      <w:pPr>
        <w:pStyle w:val="Listaszerbekezds"/>
        <w:numPr>
          <w:ilvl w:val="0"/>
          <w:numId w:val="1"/>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elemi matematika 1 gyakorlat</w:t>
      </w:r>
    </w:p>
    <w:p w:rsidR="00E3165D" w:rsidRDefault="00E3165D" w:rsidP="00E3165D">
      <w:pPr>
        <w:pStyle w:val="Listaszerbekezds"/>
        <w:numPr>
          <w:ilvl w:val="0"/>
          <w:numId w:val="1"/>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analízis 1 gyakorlat és előadás VAGY kalkulus 1 gyakorlat és előadás</w:t>
      </w:r>
    </w:p>
    <w:p w:rsidR="00E3165D" w:rsidRDefault="00E3165D" w:rsidP="00E3165D">
      <w:pPr>
        <w:pStyle w:val="Listaszerbekezds"/>
        <w:numPr>
          <w:ilvl w:val="0"/>
          <w:numId w:val="1"/>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algebra 1 gyakorlat és előadás</w:t>
      </w:r>
    </w:p>
    <w:p w:rsidR="00E3165D" w:rsidRDefault="00E3165D" w:rsidP="00E3165D">
      <w:pPr>
        <w:pStyle w:val="Listaszerbekezds"/>
        <w:numPr>
          <w:ilvl w:val="0"/>
          <w:numId w:val="1"/>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számelmélet 1 gyakorlat és előadás</w:t>
      </w:r>
    </w:p>
    <w:p w:rsidR="00E3165D" w:rsidRPr="00E3165D" w:rsidRDefault="00E3165D" w:rsidP="00E3165D">
      <w:pPr>
        <w:pStyle w:val="Listaszerbekezds"/>
        <w:numPr>
          <w:ilvl w:val="0"/>
          <w:numId w:val="1"/>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véges matematika 1 gyakorlat és előadás</w:t>
      </w:r>
    </w:p>
    <w:p w:rsidR="00E63AC5" w:rsidRDefault="0049766C"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Ezzel párhuzamosan megkezdtem a további alapvető tárgyak változatainak egységes azonosítóval való ellátását is, de további részletes elemzést megelőzően valószínűleg egy alaposan felépített adatbázis létrehozása volna szükséges, ahonnan SQL-lekérdezésekkel könnyebben testre szabható lekérdezések állíthatók elő, mint az Excel beépített szűrőlehetőségeivel vagy függvényeivel.</w:t>
      </w:r>
    </w:p>
    <w:p w:rsidR="00372F34" w:rsidRPr="003F7DAA" w:rsidRDefault="00372F34" w:rsidP="003F7DAA">
      <w:pPr>
        <w:pStyle w:val="Cmsor2"/>
      </w:pPr>
      <w:bookmarkStart w:id="9" w:name="_Toc503091300"/>
      <w:proofErr w:type="spellStart"/>
      <w:r w:rsidRPr="003F7DAA">
        <w:t>COCO-attribútumok</w:t>
      </w:r>
      <w:proofErr w:type="spellEnd"/>
      <w:r w:rsidRPr="003F7DAA">
        <w:t xml:space="preserve"> képzése</w:t>
      </w:r>
      <w:bookmarkEnd w:id="9"/>
    </w:p>
    <w:p w:rsidR="00372F34" w:rsidRDefault="00AC6458"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Annak érdekében, hogy a 138 hallgató eredményeinek összehasonlítása minél alaposabb lehessen, szándék</w:t>
      </w:r>
      <w:r w:rsidR="0013589B">
        <w:rPr>
          <w:rFonts w:asciiTheme="majorHAnsi" w:eastAsia="Times New Roman" w:hAnsiTheme="majorHAnsi" w:cs="Times New Roman"/>
          <w:sz w:val="24"/>
          <w:szCs w:val="24"/>
          <w:lang w:eastAsia="hu-HU"/>
        </w:rPr>
        <w:t xml:space="preserve">omban állt minél nagyobb számú </w:t>
      </w:r>
      <w:r>
        <w:rPr>
          <w:rFonts w:asciiTheme="majorHAnsi" w:eastAsia="Times New Roman" w:hAnsiTheme="majorHAnsi" w:cs="Times New Roman"/>
          <w:sz w:val="24"/>
          <w:szCs w:val="24"/>
          <w:lang w:eastAsia="hu-HU"/>
        </w:rPr>
        <w:t>at</w:t>
      </w:r>
      <w:r w:rsidR="002723F9">
        <w:rPr>
          <w:rFonts w:asciiTheme="majorHAnsi" w:eastAsia="Times New Roman" w:hAnsiTheme="majorHAnsi" w:cs="Times New Roman"/>
          <w:sz w:val="24"/>
          <w:szCs w:val="24"/>
          <w:lang w:eastAsia="hu-HU"/>
        </w:rPr>
        <w:t xml:space="preserve">tribútum bevonása az elemzésbe, ugyanis a </w:t>
      </w:r>
      <w:proofErr w:type="spellStart"/>
      <w:r w:rsidR="002723F9">
        <w:rPr>
          <w:rFonts w:asciiTheme="majorHAnsi" w:eastAsia="Times New Roman" w:hAnsiTheme="majorHAnsi" w:cs="Times New Roman"/>
          <w:sz w:val="24"/>
          <w:szCs w:val="24"/>
          <w:lang w:eastAsia="hu-HU"/>
        </w:rPr>
        <w:t>COCO-módszerrel</w:t>
      </w:r>
      <w:proofErr w:type="spellEnd"/>
      <w:r w:rsidR="002723F9">
        <w:rPr>
          <w:rFonts w:asciiTheme="majorHAnsi" w:eastAsia="Times New Roman" w:hAnsiTheme="majorHAnsi" w:cs="Times New Roman"/>
          <w:sz w:val="24"/>
          <w:szCs w:val="24"/>
          <w:lang w:eastAsia="hu-HU"/>
        </w:rPr>
        <w:t xml:space="preserve"> a sorszámozás (méretfüggetlenítés) révén igen változatos adatok együttes elemzésére nyílik lehetőség olyan módon, hogy a mutatószámok kiválasztása után a műveleteket az elemző szubjektív és </w:t>
      </w:r>
      <w:r w:rsidR="002723F9" w:rsidRPr="002723F9">
        <w:rPr>
          <w:rFonts w:asciiTheme="majorHAnsi" w:eastAsia="Times New Roman" w:hAnsiTheme="majorHAnsi" w:cs="Times New Roman"/>
          <w:i/>
          <w:sz w:val="24"/>
          <w:szCs w:val="24"/>
          <w:lang w:eastAsia="hu-HU"/>
        </w:rPr>
        <w:t>ad hoc</w:t>
      </w:r>
      <w:r w:rsidR="002723F9">
        <w:rPr>
          <w:rFonts w:asciiTheme="majorHAnsi" w:eastAsia="Times New Roman" w:hAnsiTheme="majorHAnsi" w:cs="Times New Roman"/>
          <w:sz w:val="24"/>
          <w:szCs w:val="24"/>
          <w:lang w:eastAsia="hu-HU"/>
        </w:rPr>
        <w:t xml:space="preserve"> súlyozással már nem befolyásolja.</w:t>
      </w:r>
    </w:p>
    <w:p w:rsidR="002723F9" w:rsidRDefault="008D215F" w:rsidP="0070229D">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Az elemzés</w:t>
      </w:r>
      <w:r w:rsidR="006F626E">
        <w:rPr>
          <w:rStyle w:val="Lbjegyzet-hivatkozs"/>
          <w:rFonts w:asciiTheme="majorHAnsi" w:eastAsia="Times New Roman" w:hAnsiTheme="majorHAnsi" w:cs="Times New Roman"/>
          <w:sz w:val="24"/>
          <w:szCs w:val="24"/>
          <w:lang w:eastAsia="hu-HU"/>
        </w:rPr>
        <w:footnoteReference w:id="4"/>
      </w:r>
      <w:r>
        <w:rPr>
          <w:rFonts w:asciiTheme="majorHAnsi" w:eastAsia="Times New Roman" w:hAnsiTheme="majorHAnsi" w:cs="Times New Roman"/>
          <w:sz w:val="24"/>
          <w:szCs w:val="24"/>
          <w:lang w:eastAsia="hu-HU"/>
        </w:rPr>
        <w:t xml:space="preserve"> során a mutatószámoknak három karakteres csoportját alkalmaztam:</w:t>
      </w:r>
    </w:p>
    <w:p w:rsidR="008D215F" w:rsidRDefault="008D215F" w:rsidP="008D215F">
      <w:pPr>
        <w:pStyle w:val="Listaszerbekezds"/>
        <w:numPr>
          <w:ilvl w:val="0"/>
          <w:numId w:val="2"/>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érdemjegyek</w:t>
      </w:r>
      <w:r w:rsidR="009A0E47">
        <w:rPr>
          <w:rFonts w:asciiTheme="majorHAnsi" w:eastAsia="Times New Roman" w:hAnsiTheme="majorHAnsi" w:cs="Times New Roman"/>
          <w:sz w:val="24"/>
          <w:szCs w:val="24"/>
          <w:lang w:eastAsia="hu-HU"/>
        </w:rPr>
        <w:t>; tárgyteljesítési mutatók</w:t>
      </w:r>
    </w:p>
    <w:p w:rsidR="004F2790" w:rsidRDefault="004F2790" w:rsidP="008D215F">
      <w:pPr>
        <w:pStyle w:val="Listaszerbekezds"/>
        <w:numPr>
          <w:ilvl w:val="0"/>
          <w:numId w:val="2"/>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tárgy sikeres teljesítéséhez tartozó félév-adatok</w:t>
      </w:r>
    </w:p>
    <w:p w:rsidR="008D215F" w:rsidRDefault="008D215F" w:rsidP="008D215F">
      <w:pPr>
        <w:pStyle w:val="Listaszerbekezds"/>
        <w:numPr>
          <w:ilvl w:val="0"/>
          <w:numId w:val="2"/>
        </w:num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átlag- vagy darab-jellegű, aggregált mutatók</w:t>
      </w:r>
    </w:p>
    <w:p w:rsidR="008D215F" w:rsidRDefault="009A0E47"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Minden hallgató esetében tíz „érdemjegy” került elemzésre azzal a döntési szabállyal, hogy minden hallgató esetén minden tárgyhoz az utolsóként bejegyzett értékelés kerül automatikusan figyelembe vételre. A tárgyak közül a matematika kritériumtárgy háromfokozatú skálán: elhagyott / nem felelt meg / megfelelt; a fejenként öt kötelező tárgy pedig hatfokozatú skálán szerepelt, ahol a tárgy elhagyása nulla érdemjegyként szerepelt. Az alternatív teljesítésű analízis / kalkulus tárgyakat összefésültem, azon hallgatók esetében pedig, akik analízisről sikertelenség miatt váltottak kalkulusra, csak az utóbbi tárgy teljesítésének eredményeit vettem figyelembe.</w:t>
      </w:r>
    </w:p>
    <w:p w:rsidR="009A0E47" w:rsidRDefault="009A0E47"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Ebben a blokkban minden mutatószám csökkenő irány mentén került sorszámozásra, mivel a végső eredményességben természetesen a jobb jegyek kell, hogy a jobb eredményhez tartozzanak.</w:t>
      </w:r>
    </w:p>
    <w:p w:rsidR="009A0E47" w:rsidRDefault="009A0E47"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Az </w:t>
      </w:r>
      <w:r w:rsidR="008301E6">
        <w:rPr>
          <w:rFonts w:asciiTheme="majorHAnsi" w:eastAsia="Times New Roman" w:hAnsiTheme="majorHAnsi" w:cs="Times New Roman"/>
          <w:sz w:val="24"/>
          <w:szCs w:val="24"/>
          <w:lang w:eastAsia="hu-HU"/>
        </w:rPr>
        <w:t xml:space="preserve">tárgyteljesítéshez tartozó </w:t>
      </w:r>
      <w:r>
        <w:rPr>
          <w:rFonts w:asciiTheme="majorHAnsi" w:eastAsia="Times New Roman" w:hAnsiTheme="majorHAnsi" w:cs="Times New Roman"/>
          <w:sz w:val="24"/>
          <w:szCs w:val="24"/>
          <w:lang w:eastAsia="hu-HU"/>
        </w:rPr>
        <w:t>aggregált mutatószámok között az első a teljesítési kísérlettel rendelkező tárgyak eredményeinek hagyományos átlaga volt hallgatónként (az elhagyott tanegységek nem szerepeltek a számolásban, azonban a sikertelenség után analízisről kalkulusra történő váltás plusz egy jeggyel (elégtelen) itt beszámításra került.</w:t>
      </w:r>
      <w:r w:rsidR="00161D4B">
        <w:rPr>
          <w:rFonts w:asciiTheme="majorHAnsi" w:eastAsia="Times New Roman" w:hAnsiTheme="majorHAnsi" w:cs="Times New Roman"/>
          <w:sz w:val="24"/>
          <w:szCs w:val="24"/>
          <w:lang w:eastAsia="hu-HU"/>
        </w:rPr>
        <w:t xml:space="preserve"> A második mutató az elhagyott tanegységek szankcionálásával számított, kreditindex-szerű mutatószám, ahol a kötelező tárgyakból megszerzett érdemjegyek (nullától ötig) összege került elosztásra kilenccel. </w:t>
      </w:r>
      <w:r w:rsidR="008443FA">
        <w:rPr>
          <w:rFonts w:asciiTheme="majorHAnsi" w:eastAsia="Times New Roman" w:hAnsiTheme="majorHAnsi" w:cs="Times New Roman"/>
          <w:sz w:val="24"/>
          <w:szCs w:val="24"/>
          <w:lang w:eastAsia="hu-HU"/>
        </w:rPr>
        <w:t>A matematika kritériumtárgyat, mivel az egyetem szabályzatai szerint a kétfokozatú értékeléssel rendelkező tárgy nem szerepel az átlagolásban, egyik alkalommal sem vettem figyelembe.</w:t>
      </w:r>
    </w:p>
    <w:p w:rsidR="008443FA" w:rsidRDefault="008443FA"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További mutatószámok voltak a jegyszerzési kísérlettel zárult tárgyak összesített száma, a teljesített tárgyak száma, az elégtelen érdemjeggyel zárt tárgyak száma, illetve az elhagyott tanegységek száma. Az átlagok, illetve az </w:t>
      </w:r>
      <w:r w:rsidR="002A7C58">
        <w:rPr>
          <w:rFonts w:asciiTheme="majorHAnsi" w:eastAsia="Times New Roman" w:hAnsiTheme="majorHAnsi" w:cs="Times New Roman"/>
          <w:sz w:val="24"/>
          <w:szCs w:val="24"/>
          <w:lang w:eastAsia="hu-HU"/>
        </w:rPr>
        <w:t xml:space="preserve">érdemjeggyel zárt tárgyak száma </w:t>
      </w:r>
      <w:r w:rsidR="002A7C58">
        <w:rPr>
          <w:rFonts w:asciiTheme="majorHAnsi" w:eastAsia="Times New Roman" w:hAnsiTheme="majorHAnsi" w:cs="Times New Roman"/>
          <w:sz w:val="24"/>
          <w:szCs w:val="24"/>
          <w:lang w:eastAsia="hu-HU"/>
        </w:rPr>
        <w:lastRenderedPageBreak/>
        <w:t>csökkenő, a bukott és elhagyott tanegységek száma növekvő irány mentén került sorszámozásra.</w:t>
      </w:r>
    </w:p>
    <w:p w:rsidR="002A7C58" w:rsidRDefault="00D66DF6"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Az előzőekben bemutatott tíz tárgyhoz egyenként feljegyzésre került az is, a hallgató mely félévben szerezte az előző blokkban figyelembe vett utolsó érdemjegyet – ez a félévszám ilyen módon a sikeres teljesítés félévét jelenti, kivéve azon tárgyak esetében, amelyekből a hallgató utolsó teljesítési kísérlete is elégtelen volt, vagy amelyeket elhagyott. Az elhagyott tanegységekhez a teljesítés féléveként a hatodik lett megjelölve, </w:t>
      </w:r>
      <w:proofErr w:type="gramStart"/>
      <w:r>
        <w:rPr>
          <w:rFonts w:asciiTheme="majorHAnsi" w:eastAsia="Times New Roman" w:hAnsiTheme="majorHAnsi" w:cs="Times New Roman"/>
          <w:sz w:val="24"/>
          <w:szCs w:val="24"/>
          <w:lang w:eastAsia="hu-HU"/>
        </w:rPr>
        <w:t>mivel</w:t>
      </w:r>
      <w:proofErr w:type="gramEnd"/>
      <w:r>
        <w:rPr>
          <w:rFonts w:asciiTheme="majorHAnsi" w:eastAsia="Times New Roman" w:hAnsiTheme="majorHAnsi" w:cs="Times New Roman"/>
          <w:sz w:val="24"/>
          <w:szCs w:val="24"/>
          <w:lang w:eastAsia="hu-HU"/>
        </w:rPr>
        <w:t xml:space="preserve"> egyébként olyan hallgató és olyan tárgy nem volt, amelyet természetes módon a hatodik félévben még megkíséreltek volna teljesíteni.</w:t>
      </w:r>
    </w:p>
    <w:p w:rsidR="00D66DF6" w:rsidRDefault="00D66DF6"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teljesítési félévek értelemszerűen növekvő irány mentén kerültek sorba rendezésre, mivel az eredményesség fogalma ezúttal a minél korábbi teljesítéssel függ össze.</w:t>
      </w:r>
    </w:p>
    <w:p w:rsidR="00D66DF6" w:rsidRDefault="007176F1"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félévszámokra vonatkozóan két aggregált mutató került az elemzésbe, egyrészt az előzőekben bemutatott félévszámok átlagértéke, másrészt pedig azon tárgyak darabszáma, amelyeket az első félévben érdemjeggyel (esetleg ki nem javított elégtelennel) zárt a hallgató. A félévszámok átlaga növekvő, az első félévben lezárt tárgyak száma csökkenő irány szerint került sorszámozásra.</w:t>
      </w:r>
    </w:p>
    <w:p w:rsidR="007176F1" w:rsidRDefault="006E2D7B"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Végül 28 attribútum mentén került sor a hallgatók értékelésére, így a végleges OAM (a függő változó, konstans 1000 érték, felvételével) 139x29 méretű. </w:t>
      </w:r>
      <w:r w:rsidR="00515A23">
        <w:rPr>
          <w:rFonts w:asciiTheme="majorHAnsi" w:eastAsia="Times New Roman" w:hAnsiTheme="majorHAnsi" w:cs="Times New Roman"/>
          <w:sz w:val="24"/>
          <w:szCs w:val="24"/>
          <w:lang w:eastAsia="hu-HU"/>
        </w:rPr>
        <w:t xml:space="preserve">Ez a méret a jelenleg elérhető online </w:t>
      </w:r>
      <w:proofErr w:type="spellStart"/>
      <w:r w:rsidR="00515A23">
        <w:rPr>
          <w:rFonts w:asciiTheme="majorHAnsi" w:eastAsia="Times New Roman" w:hAnsiTheme="majorHAnsi" w:cs="Times New Roman"/>
          <w:sz w:val="24"/>
          <w:szCs w:val="24"/>
          <w:lang w:eastAsia="hu-HU"/>
        </w:rPr>
        <w:t>LP-modul</w:t>
      </w:r>
      <w:proofErr w:type="spellEnd"/>
      <w:r w:rsidR="00515A23">
        <w:rPr>
          <w:rFonts w:asciiTheme="majorHAnsi" w:eastAsia="Times New Roman" w:hAnsiTheme="majorHAnsi" w:cs="Times New Roman"/>
          <w:sz w:val="24"/>
          <w:szCs w:val="24"/>
          <w:lang w:eastAsia="hu-HU"/>
        </w:rPr>
        <w:t xml:space="preserve"> kapacitásának felső korlátjánál található, így a lépcsők számát a sorszámok „összesöprésével” tízre</w:t>
      </w:r>
      <w:r w:rsidR="006F626E">
        <w:rPr>
          <w:rStyle w:val="Lbjegyzet-hivatkozs"/>
          <w:rFonts w:asciiTheme="majorHAnsi" w:eastAsia="Times New Roman" w:hAnsiTheme="majorHAnsi" w:cs="Times New Roman"/>
          <w:sz w:val="24"/>
          <w:szCs w:val="24"/>
          <w:lang w:eastAsia="hu-HU"/>
        </w:rPr>
        <w:footnoteReference w:id="5"/>
      </w:r>
      <w:r w:rsidR="00515A23">
        <w:rPr>
          <w:rFonts w:asciiTheme="majorHAnsi" w:eastAsia="Times New Roman" w:hAnsiTheme="majorHAnsi" w:cs="Times New Roman"/>
          <w:sz w:val="24"/>
          <w:szCs w:val="24"/>
          <w:lang w:eastAsia="hu-HU"/>
        </w:rPr>
        <w:t xml:space="preserve"> állítottam be. Mivel az elemzésben 10 tárgy szerepel, így a sorszámozás felbontását ez, a lépcsőkre vonatkozó módosítás számottevő arányban kizárólag a tanulmányi, illetve félév-átlag mutatószámok esetében csökkenti, a többi mutatószám esetében az egyedi értékek száma kevés.</w:t>
      </w:r>
    </w:p>
    <w:p w:rsidR="003F7DAA" w:rsidRDefault="003F7DAA"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fenti attribútumokkal a COCO-Y0 modell futtatása sikeres volt, az inverz irányok mentén végzett ellenőrzés a 138 hallgatóból kettő kivételével minden esetben </w:t>
      </w:r>
      <w:proofErr w:type="spellStart"/>
      <w:r>
        <w:rPr>
          <w:rFonts w:asciiTheme="majorHAnsi" w:eastAsia="Times New Roman" w:hAnsiTheme="majorHAnsi" w:cs="Times New Roman"/>
          <w:sz w:val="24"/>
          <w:szCs w:val="24"/>
          <w:lang w:eastAsia="hu-HU"/>
        </w:rPr>
        <w:t>validálta</w:t>
      </w:r>
      <w:proofErr w:type="spellEnd"/>
      <w:r>
        <w:rPr>
          <w:rFonts w:asciiTheme="majorHAnsi" w:eastAsia="Times New Roman" w:hAnsiTheme="majorHAnsi" w:cs="Times New Roman"/>
          <w:sz w:val="24"/>
          <w:szCs w:val="24"/>
          <w:lang w:eastAsia="hu-HU"/>
        </w:rPr>
        <w:t xml:space="preserve"> az elsődleges hasonlóságelemzés eredményét.</w:t>
      </w:r>
    </w:p>
    <w:p w:rsidR="003F7DAA" w:rsidRDefault="003F7DAA" w:rsidP="003F7DAA">
      <w:pPr>
        <w:pStyle w:val="Cmsor2"/>
      </w:pPr>
      <w:bookmarkStart w:id="10" w:name="_Toc503091301"/>
      <w:r>
        <w:lastRenderedPageBreak/>
        <w:t>A hasonlóságelemzés eredménye</w:t>
      </w:r>
      <w:bookmarkEnd w:id="10"/>
    </w:p>
    <w:p w:rsidR="003F7DAA" w:rsidRDefault="00DE66B7"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1000 norma-pontszám körül 850 és 1100 pont körül szóródnak az eredményességi mutató érté</w:t>
      </w:r>
      <w:r w:rsidR="002D3B6B">
        <w:rPr>
          <w:rFonts w:asciiTheme="majorHAnsi" w:eastAsia="Times New Roman" w:hAnsiTheme="majorHAnsi" w:cs="Times New Roman"/>
          <w:sz w:val="24"/>
          <w:szCs w:val="24"/>
          <w:lang w:eastAsia="hu-HU"/>
        </w:rPr>
        <w:t>kei az egyes hallgatók esetében, vagyis a hallgatók eredményeit tekintve (természetesen) nem teljesül a „</w:t>
      </w:r>
      <w:proofErr w:type="spellStart"/>
      <w:r w:rsidR="002D3B6B">
        <w:rPr>
          <w:rFonts w:asciiTheme="majorHAnsi" w:eastAsia="Times New Roman" w:hAnsiTheme="majorHAnsi" w:cs="Times New Roman"/>
          <w:sz w:val="24"/>
          <w:szCs w:val="24"/>
          <w:lang w:eastAsia="hu-HU"/>
        </w:rPr>
        <w:t>mindneki-másként-egyforma</w:t>
      </w:r>
      <w:proofErr w:type="spellEnd"/>
      <w:r w:rsidR="002D3B6B">
        <w:rPr>
          <w:rFonts w:asciiTheme="majorHAnsi" w:eastAsia="Times New Roman" w:hAnsiTheme="majorHAnsi" w:cs="Times New Roman"/>
          <w:sz w:val="24"/>
          <w:szCs w:val="24"/>
          <w:lang w:eastAsia="hu-HU"/>
        </w:rPr>
        <w:t>”</w:t>
      </w:r>
      <w:proofErr w:type="spellStart"/>
      <w:r w:rsidR="002D3B6B">
        <w:rPr>
          <w:rFonts w:asciiTheme="majorHAnsi" w:eastAsia="Times New Roman" w:hAnsiTheme="majorHAnsi" w:cs="Times New Roman"/>
          <w:sz w:val="24"/>
          <w:szCs w:val="24"/>
          <w:lang w:eastAsia="hu-HU"/>
        </w:rPr>
        <w:t>-elv</w:t>
      </w:r>
      <w:proofErr w:type="spellEnd"/>
      <w:r w:rsidR="002D3B6B">
        <w:rPr>
          <w:rFonts w:asciiTheme="majorHAnsi" w:eastAsia="Times New Roman" w:hAnsiTheme="majorHAnsi" w:cs="Times New Roman"/>
          <w:sz w:val="24"/>
          <w:szCs w:val="24"/>
          <w:lang w:eastAsia="hu-HU"/>
        </w:rPr>
        <w:t>.</w:t>
      </w:r>
    </w:p>
    <w:p w:rsidR="00DE66B7" w:rsidRDefault="002D3B6B"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28 attribútum esetében a lépcsősfüggvények lefutása 26 esetben teljesen egységes, és jelentős eltérést a maradék esetek sem mutatnak, így kijelenthető, hogy az eredményességi mutató a bemenő attribútumok mindegyikével </w:t>
      </w:r>
      <w:r w:rsidR="00470EF5">
        <w:rPr>
          <w:rFonts w:asciiTheme="majorHAnsi" w:eastAsia="Times New Roman" w:hAnsiTheme="majorHAnsi" w:cs="Times New Roman"/>
          <w:sz w:val="24"/>
          <w:szCs w:val="24"/>
          <w:lang w:eastAsia="hu-HU"/>
        </w:rPr>
        <w:t xml:space="preserve">legalább közepesen </w:t>
      </w:r>
      <w:r>
        <w:rPr>
          <w:rFonts w:asciiTheme="majorHAnsi" w:eastAsia="Times New Roman" w:hAnsiTheme="majorHAnsi" w:cs="Times New Roman"/>
          <w:sz w:val="24"/>
          <w:szCs w:val="24"/>
          <w:lang w:eastAsia="hu-HU"/>
        </w:rPr>
        <w:t>erős korrelációt mutat</w:t>
      </w:r>
      <w:r w:rsidR="00470EF5">
        <w:rPr>
          <w:rFonts w:asciiTheme="majorHAnsi" w:eastAsia="Times New Roman" w:hAnsiTheme="majorHAnsi" w:cs="Times New Roman"/>
          <w:sz w:val="24"/>
          <w:szCs w:val="24"/>
          <w:lang w:eastAsia="hu-HU"/>
        </w:rPr>
        <w:t xml:space="preserve"> (ld. 3. ábra)</w:t>
      </w:r>
      <w:r>
        <w:rPr>
          <w:rFonts w:asciiTheme="majorHAnsi" w:eastAsia="Times New Roman" w:hAnsiTheme="majorHAnsi" w:cs="Times New Roman"/>
          <w:sz w:val="24"/>
          <w:szCs w:val="24"/>
          <w:lang w:eastAsia="hu-HU"/>
        </w:rPr>
        <w:t xml:space="preserve">. Nem jelentkezett az attribútumoknak olyan kisebb csoportja, </w:t>
      </w:r>
      <w:r w:rsidR="003F7BAA">
        <w:rPr>
          <w:rFonts w:asciiTheme="majorHAnsi" w:eastAsia="Times New Roman" w:hAnsiTheme="majorHAnsi" w:cs="Times New Roman"/>
          <w:sz w:val="24"/>
          <w:szCs w:val="24"/>
          <w:lang w:eastAsia="hu-HU"/>
        </w:rPr>
        <w:t>amely önállóan kiemelkedően erős magyarázóerővel rendelkezne, így ezúttal a hasonlóságelemzési, illetve az egyszerű rangsor-összegzéses értékelés közel azonos eredményre vezet.</w:t>
      </w:r>
    </w:p>
    <w:p w:rsidR="000E7F94" w:rsidRPr="000E7F94" w:rsidRDefault="0047002D" w:rsidP="000E7F94">
      <w:pPr>
        <w:pStyle w:val="Kpalrs"/>
        <w:spacing w:after="0"/>
        <w:rPr>
          <w:rFonts w:asciiTheme="majorHAnsi" w:hAnsiTheme="majorHAnsi"/>
          <w:b w:val="0"/>
          <w:bCs w:val="0"/>
          <w:color w:val="auto"/>
          <w:sz w:val="24"/>
          <w:szCs w:val="24"/>
        </w:rPr>
      </w:pPr>
      <w:r w:rsidRPr="0043315B">
        <w:rPr>
          <w:rFonts w:asciiTheme="majorHAnsi" w:hAnsiTheme="majorHAnsi"/>
          <w:b w:val="0"/>
          <w:bCs w:val="0"/>
          <w:color w:val="auto"/>
          <w:sz w:val="24"/>
          <w:szCs w:val="24"/>
        </w:rPr>
        <w:drawing>
          <wp:inline distT="0" distB="0" distL="0" distR="0" wp14:anchorId="37AAD9DE" wp14:editId="3074FE47">
            <wp:extent cx="5760000" cy="3764280"/>
            <wp:effectExtent l="0" t="0" r="0" b="762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BAA" w:rsidRPr="0043315B" w:rsidRDefault="0047002D" w:rsidP="0043315B">
      <w:pPr>
        <w:pStyle w:val="Kpalrs"/>
        <w:rPr>
          <w:rFonts w:asciiTheme="majorHAnsi" w:hAnsiTheme="majorHAnsi"/>
          <w:sz w:val="24"/>
          <w:szCs w:val="24"/>
        </w:rPr>
      </w:pPr>
      <w:r w:rsidRPr="0047002D">
        <w:rPr>
          <w:noProof/>
        </w:rPr>
        <w:fldChar w:fldCharType="begin"/>
      </w:r>
      <w:r w:rsidRPr="0047002D">
        <w:rPr>
          <w:noProof/>
        </w:rPr>
        <w:instrText xml:space="preserve"> SEQ ábra \* ARABIC </w:instrText>
      </w:r>
      <w:r w:rsidRPr="0047002D">
        <w:rPr>
          <w:noProof/>
        </w:rPr>
        <w:fldChar w:fldCharType="separate"/>
      </w:r>
      <w:bookmarkStart w:id="11" w:name="_Toc503091141"/>
      <w:r w:rsidR="009F3A94">
        <w:rPr>
          <w:noProof/>
        </w:rPr>
        <w:t>3</w:t>
      </w:r>
      <w:r w:rsidRPr="0047002D">
        <w:rPr>
          <w:noProof/>
        </w:rPr>
        <w:fldChar w:fldCharType="end"/>
      </w:r>
      <w:r>
        <w:rPr>
          <w:noProof/>
        </w:rPr>
        <w:t>. ábra – A hasonlóságelemzéssel maghatározott egyetemi eredményesség és az elhagyott tanegységek figyelembe vételével számított tanulmányi átlag közötti összefüggés</w:t>
      </w:r>
      <w:r w:rsidR="00470EF5">
        <w:rPr>
          <w:noProof/>
        </w:rPr>
        <w:br/>
        <w:t>(</w:t>
      </w:r>
      <m:oMath>
        <m:sSup>
          <m:sSupPr>
            <m:ctrlPr>
              <w:rPr>
                <w:rFonts w:ascii="Cambria Math" w:hAnsi="Cambria Math"/>
                <w:i/>
                <w:noProof/>
              </w:rPr>
            </m:ctrlPr>
          </m:sSupPr>
          <m:e>
            <m:r>
              <m:rPr>
                <m:sty m:val="bi"/>
              </m:rPr>
              <w:rPr>
                <w:rFonts w:ascii="Cambria Math" w:hAnsi="Cambria Math"/>
                <w:noProof/>
              </w:rPr>
              <m:t>R</m:t>
            </m:r>
          </m:e>
          <m:sup>
            <m:r>
              <m:rPr>
                <m:sty m:val="bi"/>
              </m:rPr>
              <w:rPr>
                <w:rFonts w:ascii="Cambria Math" w:hAnsi="Cambria Math"/>
                <w:noProof/>
              </w:rPr>
              <m:t>2</m:t>
            </m:r>
          </m:sup>
        </m:sSup>
        <m:r>
          <m:rPr>
            <m:sty m:val="bi"/>
          </m:rPr>
          <w:rPr>
            <w:rFonts w:ascii="Cambria Math" w:hAnsi="Cambria Math"/>
            <w:noProof/>
          </w:rPr>
          <m:t>=0,934</m:t>
        </m:r>
      </m:oMath>
      <w:r w:rsidR="00470EF5">
        <w:rPr>
          <w:noProof/>
        </w:rPr>
        <w:t>)</w:t>
      </w:r>
      <w:bookmarkEnd w:id="11"/>
    </w:p>
    <w:p w:rsidR="00ED3337" w:rsidRDefault="00ED3337"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eredményességi mutató eloszlása a következő ábrán látható. Megállapítható, hogy az eloszlás nem mutatja a normális eloszlásra jellemző tulajdonságokat, a mintában két csoport különül el markánsan, a norma felett, illetve alatt teljesítők.</w:t>
      </w:r>
    </w:p>
    <w:p w:rsidR="0043315B" w:rsidRPr="0043315B" w:rsidRDefault="00ED3337" w:rsidP="0043315B">
      <w:pPr>
        <w:pStyle w:val="Kpalrs"/>
        <w:spacing w:after="0"/>
        <w:rPr>
          <w:rFonts w:asciiTheme="majorHAnsi" w:hAnsiTheme="majorHAnsi"/>
          <w:b w:val="0"/>
          <w:bCs w:val="0"/>
          <w:color w:val="auto"/>
          <w:sz w:val="24"/>
          <w:szCs w:val="24"/>
        </w:rPr>
      </w:pPr>
      <w:r w:rsidRPr="0043315B">
        <w:rPr>
          <w:rFonts w:asciiTheme="majorHAnsi" w:hAnsiTheme="majorHAnsi"/>
          <w:b w:val="0"/>
          <w:bCs w:val="0"/>
          <w:color w:val="auto"/>
          <w:sz w:val="24"/>
          <w:szCs w:val="24"/>
        </w:rPr>
        <w:lastRenderedPageBreak/>
        <w:drawing>
          <wp:inline distT="0" distB="0" distL="0" distR="0" wp14:anchorId="134BC176" wp14:editId="5C499346">
            <wp:extent cx="4572000" cy="27432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002D" w:rsidRPr="00ED3337" w:rsidRDefault="00ED3337" w:rsidP="00ED3337">
      <w:pPr>
        <w:pStyle w:val="Kpalrs"/>
        <w:rPr>
          <w:rFonts w:asciiTheme="majorHAnsi" w:hAnsiTheme="majorHAnsi"/>
          <w:szCs w:val="20"/>
        </w:rPr>
      </w:pPr>
      <w:r w:rsidRPr="00ED3337">
        <w:rPr>
          <w:rFonts w:asciiTheme="majorHAnsi" w:hAnsiTheme="majorHAnsi"/>
          <w:szCs w:val="20"/>
        </w:rPr>
        <w:fldChar w:fldCharType="begin"/>
      </w:r>
      <w:r w:rsidRPr="00ED3337">
        <w:rPr>
          <w:rFonts w:asciiTheme="majorHAnsi" w:hAnsiTheme="majorHAnsi"/>
          <w:szCs w:val="20"/>
        </w:rPr>
        <w:instrText xml:space="preserve"> SEQ ábra \* ARABIC </w:instrText>
      </w:r>
      <w:r w:rsidRPr="00ED3337">
        <w:rPr>
          <w:rFonts w:asciiTheme="majorHAnsi" w:hAnsiTheme="majorHAnsi"/>
          <w:szCs w:val="20"/>
        </w:rPr>
        <w:fldChar w:fldCharType="separate"/>
      </w:r>
      <w:bookmarkStart w:id="12" w:name="_Toc503091142"/>
      <w:r w:rsidR="009F3A94">
        <w:rPr>
          <w:rFonts w:asciiTheme="majorHAnsi" w:hAnsiTheme="majorHAnsi"/>
          <w:noProof/>
          <w:szCs w:val="20"/>
        </w:rPr>
        <w:t>4</w:t>
      </w:r>
      <w:r w:rsidRPr="00ED3337">
        <w:rPr>
          <w:rFonts w:asciiTheme="majorHAnsi" w:hAnsiTheme="majorHAnsi"/>
          <w:szCs w:val="20"/>
        </w:rPr>
        <w:fldChar w:fldCharType="end"/>
      </w:r>
      <w:r w:rsidRPr="00ED3337">
        <w:rPr>
          <w:szCs w:val="20"/>
        </w:rPr>
        <w:t xml:space="preserve">. ábra – </w:t>
      </w:r>
      <w:proofErr w:type="gramStart"/>
      <w:r w:rsidRPr="00ED3337">
        <w:rPr>
          <w:szCs w:val="20"/>
        </w:rPr>
        <w:t>A</w:t>
      </w:r>
      <w:proofErr w:type="gramEnd"/>
      <w:r w:rsidRPr="00ED3337">
        <w:rPr>
          <w:szCs w:val="20"/>
        </w:rPr>
        <w:t xml:space="preserve"> hasonlóságelemzéssel meghatározott egyetemi eredményesség eloszlása</w:t>
      </w:r>
      <w:bookmarkEnd w:id="12"/>
    </w:p>
    <w:p w:rsidR="0047002D" w:rsidRDefault="003444C7" w:rsidP="003444C7">
      <w:pPr>
        <w:pStyle w:val="Cmsor1"/>
      </w:pPr>
      <w:bookmarkStart w:id="13" w:name="_Toc503091302"/>
      <w:r>
        <w:t>Következtetések</w:t>
      </w:r>
      <w:bookmarkEnd w:id="13"/>
    </w:p>
    <w:p w:rsidR="00992758" w:rsidRDefault="00992758" w:rsidP="00992758">
      <w:pPr>
        <w:pStyle w:val="Cmsor2"/>
      </w:pPr>
      <w:bookmarkStart w:id="14" w:name="_Toc503091303"/>
      <w:r>
        <w:t>A kutatás hipotéziseinek ellenőrzése</w:t>
      </w:r>
      <w:bookmarkEnd w:id="14"/>
      <w:r>
        <w:t xml:space="preserve"> </w:t>
      </w:r>
    </w:p>
    <w:p w:rsidR="007E1024" w:rsidRDefault="002C729A"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Az 5. ábrán látható az emelt, illetve középszintű érettségivel felvett hallgatók vizsgaeredménye, illetve az első féléves teljesítmények alapján kalkulált egyetemi eredményesség közötti kapcsolat.</w:t>
      </w:r>
    </w:p>
    <w:p w:rsidR="0043315B" w:rsidRPr="0043315B" w:rsidRDefault="0023272B" w:rsidP="0043315B">
      <w:pPr>
        <w:pStyle w:val="Kpalrs"/>
        <w:tabs>
          <w:tab w:val="left" w:pos="3402"/>
          <w:tab w:val="left" w:pos="4536"/>
        </w:tabs>
        <w:spacing w:after="0" w:line="276" w:lineRule="auto"/>
        <w:rPr>
          <w:rFonts w:asciiTheme="majorHAnsi" w:hAnsiTheme="majorHAnsi"/>
          <w:b w:val="0"/>
          <w:bCs w:val="0"/>
          <w:color w:val="auto"/>
          <w:sz w:val="24"/>
          <w:szCs w:val="24"/>
        </w:rPr>
      </w:pPr>
      <w:r w:rsidRPr="0043315B">
        <w:rPr>
          <w:rFonts w:asciiTheme="majorHAnsi" w:hAnsiTheme="majorHAnsi"/>
          <w:b w:val="0"/>
          <w:bCs w:val="0"/>
          <w:color w:val="auto"/>
          <w:sz w:val="24"/>
          <w:szCs w:val="24"/>
        </w:rPr>
        <w:drawing>
          <wp:inline distT="0" distB="0" distL="0" distR="0" wp14:anchorId="0DA3C23E" wp14:editId="5E5F87E2">
            <wp:extent cx="5760000" cy="3240000"/>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024" w:rsidRPr="002C729A" w:rsidRDefault="002C729A" w:rsidP="00FC1D0E">
      <w:pPr>
        <w:pStyle w:val="Kpalrs"/>
        <w:tabs>
          <w:tab w:val="left" w:pos="3402"/>
          <w:tab w:val="left" w:pos="4536"/>
        </w:tabs>
        <w:spacing w:line="276" w:lineRule="auto"/>
        <w:rPr>
          <w:rFonts w:asciiTheme="majorHAnsi" w:hAnsiTheme="majorHAnsi"/>
          <w:noProof/>
          <w:szCs w:val="20"/>
        </w:rPr>
      </w:pPr>
      <w:r w:rsidRPr="002C729A">
        <w:rPr>
          <w:rFonts w:asciiTheme="majorHAnsi" w:hAnsiTheme="majorHAnsi"/>
          <w:noProof/>
          <w:szCs w:val="20"/>
        </w:rPr>
        <w:fldChar w:fldCharType="begin"/>
      </w:r>
      <w:r w:rsidRPr="002C729A">
        <w:rPr>
          <w:rFonts w:asciiTheme="majorHAnsi" w:hAnsiTheme="majorHAnsi"/>
          <w:noProof/>
          <w:szCs w:val="20"/>
        </w:rPr>
        <w:instrText xml:space="preserve"> SEQ ábra \* ARABIC </w:instrText>
      </w:r>
      <w:r w:rsidRPr="002C729A">
        <w:rPr>
          <w:rFonts w:asciiTheme="majorHAnsi" w:hAnsiTheme="majorHAnsi"/>
          <w:noProof/>
          <w:szCs w:val="20"/>
        </w:rPr>
        <w:fldChar w:fldCharType="separate"/>
      </w:r>
      <w:bookmarkStart w:id="15" w:name="_Toc503091143"/>
      <w:r w:rsidR="009F3A94">
        <w:rPr>
          <w:rFonts w:asciiTheme="majorHAnsi" w:hAnsiTheme="majorHAnsi"/>
          <w:noProof/>
          <w:szCs w:val="20"/>
        </w:rPr>
        <w:t>5</w:t>
      </w:r>
      <w:r w:rsidRPr="002C729A">
        <w:rPr>
          <w:rFonts w:asciiTheme="majorHAnsi" w:hAnsiTheme="majorHAnsi"/>
          <w:noProof/>
          <w:szCs w:val="20"/>
        </w:rPr>
        <w:fldChar w:fldCharType="end"/>
      </w:r>
      <w:r w:rsidRPr="009D7A74">
        <w:rPr>
          <w:rFonts w:asciiTheme="majorHAnsi" w:hAnsiTheme="majorHAnsi"/>
          <w:noProof/>
          <w:szCs w:val="20"/>
        </w:rPr>
        <w:t>. ábra – Az egyetemi eredményesség és az érettségi eredmények kapcsolata</w:t>
      </w:r>
      <w:r w:rsidR="009D7A74">
        <w:rPr>
          <w:rFonts w:asciiTheme="majorHAnsi" w:hAnsiTheme="majorHAnsi"/>
          <w:noProof/>
          <w:szCs w:val="20"/>
        </w:rPr>
        <w:br/>
        <w:t xml:space="preserve">„Emelt” </w:t>
      </w:r>
      <m:oMath>
        <m:sSup>
          <m:sSupPr>
            <m:ctrlPr>
              <w:rPr>
                <w:rFonts w:ascii="Cambria Math" w:hAnsi="Cambria Math"/>
                <w:i/>
                <w:noProof/>
              </w:rPr>
            </m:ctrlPr>
          </m:sSupPr>
          <m:e>
            <m:r>
              <m:rPr>
                <m:sty m:val="bi"/>
              </m:rPr>
              <w:rPr>
                <w:rFonts w:ascii="Cambria Math" w:hAnsi="Cambria Math"/>
                <w:noProof/>
              </w:rPr>
              <m:t>R</m:t>
            </m:r>
          </m:e>
          <m:sup>
            <m:r>
              <m:rPr>
                <m:sty m:val="bi"/>
              </m:rPr>
              <w:rPr>
                <w:rFonts w:ascii="Cambria Math" w:hAnsi="Cambria Math"/>
                <w:noProof/>
              </w:rPr>
              <m:t>2</m:t>
            </m:r>
          </m:sup>
        </m:sSup>
        <m:r>
          <m:rPr>
            <m:sty m:val="bi"/>
          </m:rPr>
          <w:rPr>
            <w:rFonts w:ascii="Cambria Math" w:hAnsi="Cambria Math"/>
            <w:noProof/>
          </w:rPr>
          <m:t>=0,</m:t>
        </m:r>
        <m:r>
          <m:rPr>
            <m:sty m:val="bi"/>
          </m:rPr>
          <w:rPr>
            <w:rFonts w:ascii="Cambria Math" w:hAnsi="Cambria Math"/>
            <w:noProof/>
          </w:rPr>
          <m:t>070</m:t>
        </m:r>
      </m:oMath>
      <w:r w:rsidR="009D7A74">
        <w:rPr>
          <w:rFonts w:asciiTheme="majorHAnsi" w:hAnsiTheme="majorHAnsi"/>
          <w:noProof/>
        </w:rPr>
        <w:t xml:space="preserve"> (p&lt;0,01)</w:t>
      </w:r>
      <w:r w:rsidR="009D7A74">
        <w:rPr>
          <w:rFonts w:asciiTheme="majorHAnsi" w:hAnsiTheme="majorHAnsi"/>
          <w:noProof/>
        </w:rPr>
        <w:tab/>
        <w:t>„Közép”</w:t>
      </w:r>
      <m:oMath>
        <m:r>
          <m:rPr>
            <m:sty m:val="bi"/>
          </m:rPr>
          <w:rPr>
            <w:rFonts w:ascii="Cambria Math" w:hAnsi="Cambria Math"/>
            <w:noProof/>
          </w:rPr>
          <m:t xml:space="preserve"> </m:t>
        </m:r>
        <m:sSup>
          <m:sSupPr>
            <m:ctrlPr>
              <w:rPr>
                <w:rFonts w:ascii="Cambria Math" w:hAnsi="Cambria Math"/>
                <w:i/>
                <w:noProof/>
              </w:rPr>
            </m:ctrlPr>
          </m:sSupPr>
          <m:e>
            <m:r>
              <m:rPr>
                <m:sty m:val="bi"/>
              </m:rPr>
              <w:rPr>
                <w:rFonts w:ascii="Cambria Math" w:hAnsi="Cambria Math"/>
                <w:noProof/>
              </w:rPr>
              <m:t>R</m:t>
            </m:r>
          </m:e>
          <m:sup>
            <m:r>
              <m:rPr>
                <m:sty m:val="bi"/>
              </m:rPr>
              <w:rPr>
                <w:rFonts w:ascii="Cambria Math" w:hAnsi="Cambria Math"/>
                <w:noProof/>
              </w:rPr>
              <m:t>2</m:t>
            </m:r>
          </m:sup>
        </m:sSup>
        <m:r>
          <m:rPr>
            <m:sty m:val="bi"/>
          </m:rPr>
          <w:rPr>
            <w:rFonts w:ascii="Cambria Math" w:hAnsi="Cambria Math"/>
            <w:noProof/>
          </w:rPr>
          <m:t>=0,</m:t>
        </m:r>
        <m:r>
          <m:rPr>
            <m:sty m:val="bi"/>
          </m:rPr>
          <w:rPr>
            <w:rFonts w:ascii="Cambria Math" w:hAnsi="Cambria Math"/>
            <w:noProof/>
          </w:rPr>
          <m:t>122</m:t>
        </m:r>
      </m:oMath>
      <w:r w:rsidR="009D7A74">
        <w:rPr>
          <w:rFonts w:asciiTheme="majorHAnsi" w:hAnsiTheme="majorHAnsi"/>
          <w:noProof/>
        </w:rPr>
        <w:t xml:space="preserve"> (p=0,05)</w:t>
      </w:r>
      <w:r w:rsidR="00FC1D0E">
        <w:rPr>
          <w:rFonts w:asciiTheme="majorHAnsi" w:hAnsiTheme="majorHAnsi"/>
          <w:noProof/>
        </w:rPr>
        <w:br/>
      </w:r>
      <w:r w:rsidR="00FC1D0E" w:rsidRPr="00767F2E">
        <w:rPr>
          <w:rFonts w:asciiTheme="majorHAnsi" w:hAnsiTheme="majorHAnsi"/>
          <w:i/>
          <w:noProof/>
          <w:szCs w:val="20"/>
        </w:rPr>
        <w:t>bekarikázott jelölő:</w:t>
      </w:r>
      <w:r w:rsidR="00FC1D0E">
        <w:rPr>
          <w:rFonts w:asciiTheme="majorHAnsi" w:hAnsiTheme="majorHAnsi"/>
          <w:noProof/>
          <w:szCs w:val="20"/>
        </w:rPr>
        <w:t xml:space="preserve"> sikertelen kritériumteszt</w:t>
      </w:r>
      <w:bookmarkEnd w:id="15"/>
    </w:p>
    <w:p w:rsidR="007E1024" w:rsidRDefault="004441CD"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 xml:space="preserve">Mind az emelt, mind a középszintű </w:t>
      </w:r>
      <w:r w:rsidR="00767F2E">
        <w:rPr>
          <w:rFonts w:asciiTheme="majorHAnsi" w:eastAsia="Times New Roman" w:hAnsiTheme="majorHAnsi" w:cs="Times New Roman"/>
          <w:sz w:val="24"/>
          <w:szCs w:val="24"/>
          <w:lang w:eastAsia="hu-HU"/>
        </w:rPr>
        <w:t xml:space="preserve">érettségi vizsgával felvételizők esetén kijelenthető, </w:t>
      </w:r>
      <w:r w:rsidR="00D17DB1">
        <w:rPr>
          <w:rFonts w:asciiTheme="majorHAnsi" w:eastAsia="Times New Roman" w:hAnsiTheme="majorHAnsi" w:cs="Times New Roman"/>
          <w:sz w:val="24"/>
          <w:szCs w:val="24"/>
          <w:lang w:eastAsia="hu-HU"/>
        </w:rPr>
        <w:t>hogy az egyetemi eredményességet mérő hasonlóságelemzési indexhez csak gyengén korrelál</w:t>
      </w:r>
      <w:r>
        <w:rPr>
          <w:rFonts w:asciiTheme="majorHAnsi" w:eastAsia="Times New Roman" w:hAnsiTheme="majorHAnsi" w:cs="Times New Roman"/>
          <w:sz w:val="24"/>
          <w:szCs w:val="24"/>
          <w:lang w:eastAsia="hu-HU"/>
        </w:rPr>
        <w:t xml:space="preserve"> az érettségi eredményük, mintegy 7%, illetve 12% magyarázó erővel bírva csupán. Ennek ellenére megállapítható, hogy mindkét esetben </w:t>
      </w:r>
      <w:r w:rsidR="00C0378D">
        <w:rPr>
          <w:rFonts w:asciiTheme="majorHAnsi" w:eastAsia="Times New Roman" w:hAnsiTheme="majorHAnsi" w:cs="Times New Roman"/>
          <w:sz w:val="24"/>
          <w:szCs w:val="24"/>
          <w:lang w:eastAsia="hu-HU"/>
        </w:rPr>
        <w:t xml:space="preserve">– </w:t>
      </w:r>
      <w:r>
        <w:rPr>
          <w:rFonts w:asciiTheme="majorHAnsi" w:eastAsia="Times New Roman" w:hAnsiTheme="majorHAnsi" w:cs="Times New Roman"/>
          <w:sz w:val="24"/>
          <w:szCs w:val="24"/>
          <w:lang w:eastAsia="hu-HU"/>
        </w:rPr>
        <w:t xml:space="preserve">55 pont körüli abszolút hiba mellett </w:t>
      </w:r>
      <w:r w:rsidR="00C0378D">
        <w:rPr>
          <w:rFonts w:asciiTheme="majorHAnsi" w:eastAsia="Times New Roman" w:hAnsiTheme="majorHAnsi" w:cs="Times New Roman"/>
          <w:sz w:val="24"/>
          <w:szCs w:val="24"/>
          <w:lang w:eastAsia="hu-HU"/>
        </w:rPr>
        <w:t xml:space="preserve">– </w:t>
      </w:r>
      <w:r>
        <w:rPr>
          <w:rFonts w:asciiTheme="majorHAnsi" w:eastAsia="Times New Roman" w:hAnsiTheme="majorHAnsi" w:cs="Times New Roman"/>
          <w:sz w:val="24"/>
          <w:szCs w:val="24"/>
          <w:lang w:eastAsia="hu-HU"/>
        </w:rPr>
        <w:t>szignifikáns az összefüggés</w:t>
      </w:r>
      <w:r w:rsidR="00C0378D">
        <w:rPr>
          <w:rFonts w:asciiTheme="majorHAnsi" w:eastAsia="Times New Roman" w:hAnsiTheme="majorHAnsi" w:cs="Times New Roman"/>
          <w:sz w:val="24"/>
          <w:szCs w:val="24"/>
          <w:lang w:eastAsia="hu-HU"/>
        </w:rPr>
        <w:t xml:space="preserve"> a</w:t>
      </w:r>
      <w:r w:rsidR="008F22E5">
        <w:rPr>
          <w:rFonts w:asciiTheme="majorHAnsi" w:eastAsia="Times New Roman" w:hAnsiTheme="majorHAnsi" w:cs="Times New Roman"/>
          <w:sz w:val="24"/>
          <w:szCs w:val="24"/>
          <w:lang w:eastAsia="hu-HU"/>
        </w:rPr>
        <w:t xml:space="preserve"> </w:t>
      </w:r>
      <w:r w:rsidR="00C0378D">
        <w:rPr>
          <w:rFonts w:asciiTheme="majorHAnsi" w:eastAsia="Times New Roman" w:hAnsiTheme="majorHAnsi" w:cs="Times New Roman"/>
          <w:sz w:val="24"/>
          <w:szCs w:val="24"/>
          <w:lang w:eastAsia="hu-HU"/>
        </w:rPr>
        <w:t>két változó között.</w:t>
      </w:r>
    </w:p>
    <w:p w:rsidR="0043315B" w:rsidRPr="0043315B" w:rsidRDefault="00783FB6" w:rsidP="0043315B">
      <w:pPr>
        <w:pStyle w:val="Kpalrs"/>
        <w:spacing w:after="0"/>
        <w:rPr>
          <w:rFonts w:asciiTheme="majorHAnsi" w:hAnsiTheme="majorHAnsi"/>
          <w:b w:val="0"/>
          <w:bCs w:val="0"/>
          <w:color w:val="auto"/>
          <w:sz w:val="24"/>
          <w:szCs w:val="24"/>
        </w:rPr>
      </w:pPr>
      <w:r w:rsidRPr="0043315B">
        <w:rPr>
          <w:rFonts w:asciiTheme="majorHAnsi" w:hAnsiTheme="majorHAnsi"/>
          <w:b w:val="0"/>
          <w:bCs w:val="0"/>
          <w:color w:val="auto"/>
          <w:sz w:val="24"/>
          <w:szCs w:val="24"/>
        </w:rPr>
        <w:drawing>
          <wp:inline distT="0" distB="0" distL="0" distR="0" wp14:anchorId="11ECCE42" wp14:editId="44B175B2">
            <wp:extent cx="4572000" cy="274320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3FB6" w:rsidRPr="00783FB6" w:rsidRDefault="00783FB6" w:rsidP="00783FB6">
      <w:pPr>
        <w:pStyle w:val="Kpalrs"/>
        <w:rPr>
          <w:szCs w:val="20"/>
        </w:rPr>
      </w:pPr>
      <w:r w:rsidRPr="00783FB6">
        <w:rPr>
          <w:rFonts w:asciiTheme="majorHAnsi" w:hAnsiTheme="majorHAnsi"/>
          <w:szCs w:val="20"/>
        </w:rPr>
        <w:fldChar w:fldCharType="begin"/>
      </w:r>
      <w:r w:rsidRPr="00783FB6">
        <w:rPr>
          <w:rFonts w:asciiTheme="majorHAnsi" w:hAnsiTheme="majorHAnsi"/>
          <w:szCs w:val="20"/>
        </w:rPr>
        <w:instrText xml:space="preserve"> SEQ ábra \* ARABIC </w:instrText>
      </w:r>
      <w:r w:rsidRPr="00783FB6">
        <w:rPr>
          <w:rFonts w:asciiTheme="majorHAnsi" w:hAnsiTheme="majorHAnsi"/>
          <w:szCs w:val="20"/>
        </w:rPr>
        <w:fldChar w:fldCharType="separate"/>
      </w:r>
      <w:bookmarkStart w:id="16" w:name="_Toc503091144"/>
      <w:r w:rsidR="009F3A94">
        <w:rPr>
          <w:rFonts w:asciiTheme="majorHAnsi" w:hAnsiTheme="majorHAnsi"/>
          <w:noProof/>
          <w:szCs w:val="20"/>
        </w:rPr>
        <w:t>6</w:t>
      </w:r>
      <w:r w:rsidRPr="00783FB6">
        <w:rPr>
          <w:rFonts w:asciiTheme="majorHAnsi" w:hAnsiTheme="majorHAnsi"/>
          <w:szCs w:val="20"/>
        </w:rPr>
        <w:fldChar w:fldCharType="end"/>
      </w:r>
      <w:r w:rsidRPr="00783FB6">
        <w:rPr>
          <w:szCs w:val="20"/>
        </w:rPr>
        <w:t xml:space="preserve">. ábra – </w:t>
      </w:r>
      <w:proofErr w:type="gramStart"/>
      <w:r w:rsidRPr="00783FB6">
        <w:rPr>
          <w:szCs w:val="20"/>
        </w:rPr>
        <w:t>A</w:t>
      </w:r>
      <w:proofErr w:type="gramEnd"/>
      <w:r w:rsidRPr="00783FB6">
        <w:rPr>
          <w:szCs w:val="20"/>
        </w:rPr>
        <w:t xml:space="preserve"> COCO-Y0 pontszám megoszlása az érettségi típusa szerint</w:t>
      </w:r>
      <w:bookmarkEnd w:id="16"/>
    </w:p>
    <w:p w:rsidR="00783FB6" w:rsidRDefault="00783FB6"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 fenti 6. ábrán látható, hogy az egyetemi eredményesség a részmintákban sem közelít egyértelműen a normális eloszláshoz, azonban az emelt szintű érettségivel felvételizők </w:t>
      </w:r>
      <w:r w:rsidR="00826102">
        <w:rPr>
          <w:rFonts w:asciiTheme="majorHAnsi" w:eastAsia="Times New Roman" w:hAnsiTheme="majorHAnsi" w:cs="Times New Roman"/>
          <w:sz w:val="24"/>
          <w:szCs w:val="24"/>
          <w:lang w:eastAsia="hu-HU"/>
        </w:rPr>
        <w:t>kiugróan</w:t>
      </w:r>
      <w:r>
        <w:rPr>
          <w:rFonts w:asciiTheme="majorHAnsi" w:eastAsia="Times New Roman" w:hAnsiTheme="majorHAnsi" w:cs="Times New Roman"/>
          <w:sz w:val="24"/>
          <w:szCs w:val="24"/>
          <w:lang w:eastAsia="hu-HU"/>
        </w:rPr>
        <w:t xml:space="preserve"> magasabb pontszámai</w:t>
      </w:r>
      <w:r w:rsidR="00826102">
        <w:rPr>
          <w:rFonts w:asciiTheme="majorHAnsi" w:eastAsia="Times New Roman" w:hAnsiTheme="majorHAnsi" w:cs="Times New Roman"/>
          <w:sz w:val="24"/>
          <w:szCs w:val="24"/>
          <w:lang w:eastAsia="hu-HU"/>
        </w:rPr>
        <w:t xml:space="preserve"> világosan látszanak (az emelt szinten érettségizők eredményességének átlaga 1020 pont, a középszinten érettségizőké 960 pont).</w:t>
      </w:r>
    </w:p>
    <w:p w:rsidR="00D4218F" w:rsidRDefault="00D4218F"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18 fős csoportnak, akik nem tudták az első két félév alatt teljesíteni a kritériumtárgyat, a kétharmada érkezett középszintű érettségivel. Ezek az adatok azt is jelentik, hogy a középszinten érettségizők körében a sikertelen kritériumtesztet írók aránya 37,5%, míg ugyanez az emelt szintű érettségivel felvételizők esetében kevesebb</w:t>
      </w:r>
      <w:r w:rsidR="002E0307">
        <w:rPr>
          <w:rFonts w:asciiTheme="majorHAnsi" w:eastAsia="Times New Roman" w:hAnsiTheme="majorHAnsi" w:cs="Times New Roman"/>
          <w:sz w:val="24"/>
          <w:szCs w:val="24"/>
          <w:lang w:eastAsia="hu-HU"/>
        </w:rPr>
        <w:t>,</w:t>
      </w:r>
      <w:r>
        <w:rPr>
          <w:rFonts w:asciiTheme="majorHAnsi" w:eastAsia="Times New Roman" w:hAnsiTheme="majorHAnsi" w:cs="Times New Roman"/>
          <w:sz w:val="24"/>
          <w:szCs w:val="24"/>
          <w:lang w:eastAsia="hu-HU"/>
        </w:rPr>
        <w:t xml:space="preserve"> mint 6,5 %.</w:t>
      </w:r>
    </w:p>
    <w:p w:rsidR="00D4218F" w:rsidRDefault="00992758" w:rsidP="00992758">
      <w:pPr>
        <w:pStyle w:val="Cmsor2"/>
      </w:pPr>
      <w:bookmarkStart w:id="17" w:name="_Toc503091304"/>
      <w:r>
        <w:t>További kutatási lehetőségek</w:t>
      </w:r>
      <w:bookmarkEnd w:id="17"/>
    </w:p>
    <w:p w:rsidR="00992758" w:rsidRDefault="00272033"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Amint az adatok feldolgozásánál megállapítható volt, a rendelkezésre álló egyetlen táblázatnál rugalmasabb feldolgozást tenne lehetővé egy precízen felépített és kódolt adatbázis használata. </w:t>
      </w:r>
      <w:r w:rsidR="00DD7FFD">
        <w:rPr>
          <w:rFonts w:asciiTheme="majorHAnsi" w:eastAsia="Times New Roman" w:hAnsiTheme="majorHAnsi" w:cs="Times New Roman"/>
          <w:sz w:val="24"/>
          <w:szCs w:val="24"/>
          <w:lang w:eastAsia="hu-HU"/>
        </w:rPr>
        <w:t xml:space="preserve">Az adatbázis kialakításával együtt a mintatantervek / </w:t>
      </w:r>
      <w:proofErr w:type="spellStart"/>
      <w:r w:rsidR="00DD7FFD">
        <w:rPr>
          <w:rFonts w:asciiTheme="majorHAnsi" w:eastAsia="Times New Roman" w:hAnsiTheme="majorHAnsi" w:cs="Times New Roman"/>
          <w:sz w:val="24"/>
          <w:szCs w:val="24"/>
          <w:lang w:eastAsia="hu-HU"/>
        </w:rPr>
        <w:t>NEPTUN-rendszer</w:t>
      </w:r>
      <w:proofErr w:type="spellEnd"/>
      <w:r w:rsidR="00DD7FFD">
        <w:rPr>
          <w:rFonts w:asciiTheme="majorHAnsi" w:eastAsia="Times New Roman" w:hAnsiTheme="majorHAnsi" w:cs="Times New Roman"/>
          <w:sz w:val="24"/>
          <w:szCs w:val="24"/>
          <w:lang w:eastAsia="hu-HU"/>
        </w:rPr>
        <w:t xml:space="preserve"> alapján az egyes tárgyakhoz rendelt kreditértékek </w:t>
      </w:r>
      <w:r w:rsidR="00322587">
        <w:rPr>
          <w:rFonts w:asciiTheme="majorHAnsi" w:eastAsia="Times New Roman" w:hAnsiTheme="majorHAnsi" w:cs="Times New Roman"/>
          <w:sz w:val="24"/>
          <w:szCs w:val="24"/>
          <w:lang w:eastAsia="hu-HU"/>
        </w:rPr>
        <w:t>lekérdezését követően</w:t>
      </w:r>
      <w:r w:rsidR="00DD7FFD">
        <w:rPr>
          <w:rFonts w:asciiTheme="majorHAnsi" w:eastAsia="Times New Roman" w:hAnsiTheme="majorHAnsi" w:cs="Times New Roman"/>
          <w:sz w:val="24"/>
          <w:szCs w:val="24"/>
          <w:lang w:eastAsia="hu-HU"/>
        </w:rPr>
        <w:t xml:space="preserve"> további attribútumokkal volna bővíthető az elemzés.</w:t>
      </w:r>
    </w:p>
    <w:p w:rsidR="00DD7FFD" w:rsidRDefault="00AA4EF3"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lastRenderedPageBreak/>
        <w:t xml:space="preserve">A COCO-Y0 hasonlóságelemzés alkalmazása </w:t>
      </w:r>
      <w:r w:rsidR="00AB62F9">
        <w:rPr>
          <w:rFonts w:asciiTheme="majorHAnsi" w:eastAsia="Times New Roman" w:hAnsiTheme="majorHAnsi" w:cs="Times New Roman"/>
          <w:sz w:val="24"/>
          <w:szCs w:val="24"/>
          <w:lang w:eastAsia="hu-HU"/>
        </w:rPr>
        <w:t xml:space="preserve">esetén az elemzési mátrix mérete jelentős mértékben már csak akkor növelhető, ha az </w:t>
      </w:r>
      <w:proofErr w:type="spellStart"/>
      <w:r w:rsidR="00AB62F9">
        <w:rPr>
          <w:rFonts w:asciiTheme="majorHAnsi" w:eastAsia="Times New Roman" w:hAnsiTheme="majorHAnsi" w:cs="Times New Roman"/>
          <w:sz w:val="24"/>
          <w:szCs w:val="24"/>
          <w:lang w:eastAsia="hu-HU"/>
        </w:rPr>
        <w:t>LP-szolgáltatásokat</w:t>
      </w:r>
      <w:proofErr w:type="spellEnd"/>
      <w:r w:rsidR="00AB62F9">
        <w:rPr>
          <w:rFonts w:asciiTheme="majorHAnsi" w:eastAsia="Times New Roman" w:hAnsiTheme="majorHAnsi" w:cs="Times New Roman"/>
          <w:sz w:val="24"/>
          <w:szCs w:val="24"/>
          <w:lang w:eastAsia="hu-HU"/>
        </w:rPr>
        <w:t xml:space="preserve"> az online eszköz helyett megfelelő teljesítményű célgépen van lehetőség implementálni, ebben az esetben azonban mindenképpen érdemesnek látom az elemzés folytatását a további féléves teljesítmények vizsgálatba vonásával, végső soron az azóta esetleg csúszással is diplomát szerzettek adatainak a teljes alapképzésen végigfutó vizsgálatával.</w:t>
      </w:r>
    </w:p>
    <w:p w:rsidR="00AB62F9" w:rsidRDefault="00E03DDD" w:rsidP="00E03DDD">
      <w:pPr>
        <w:pStyle w:val="Cmsor1"/>
      </w:pPr>
      <w:bookmarkStart w:id="18" w:name="_Toc503091305"/>
      <w:r>
        <w:t>Összefoglalás</w:t>
      </w:r>
      <w:bookmarkEnd w:id="18"/>
    </w:p>
    <w:p w:rsidR="00E03DDD" w:rsidRDefault="008458DA"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 xml:space="preserve">Szabadon választható egyetemi kurzus keretében valósult meg a matematika érettségi prediktív validitásának vizsgálatát előkészítő pilot-elemzés. </w:t>
      </w:r>
      <w:r w:rsidR="00EA69E5">
        <w:rPr>
          <w:rFonts w:asciiTheme="majorHAnsi" w:eastAsia="Times New Roman" w:hAnsiTheme="majorHAnsi" w:cs="Times New Roman"/>
          <w:sz w:val="24"/>
          <w:szCs w:val="24"/>
          <w:lang w:eastAsia="hu-HU"/>
        </w:rPr>
        <w:t>A Magyarországon a felvételi funkcióját több mint tíz éve betöltő kétszintű érettségivel kapcsolatban ilyen jellegű kutatás matematika tantárgyra vonatkozóan nem ismert, a módszertan azonban a közoktatásban szélesebb körben előforduló felmérések alapján adaptálható az egyetemi mintára is.</w:t>
      </w:r>
    </w:p>
    <w:p w:rsidR="00EA69E5" w:rsidRDefault="00EA69E5"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Mivel az egyetemi képzés relatív rövidsége, a nagy lemorzsolódás és az egyéni tantervek nem teszik lehetővé a képzés során természetesen felmerülő közös tesztek használatát az egyetemi eredményesség mérésére, így az elérhető indexkivonatok adataiból származtatott különböző mutatószámok felhasználása mellett antidiszkriminatív hasonlóságelemzési modellben tettem kísérletet az eredményesség modellezésére.</w:t>
      </w:r>
    </w:p>
    <w:p w:rsidR="00EA69E5" w:rsidRDefault="006C087B"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COCO-Y0 módszerrel meghatározott eredményességi pontszámok magas korrelációt mutatnak a felsőoktatásban elterjedten használt tanulmányi átlag, illetve kreditindex-jellegű mutatószámokkal, azonban érdemben képesek további szemponto</w:t>
      </w:r>
      <w:r w:rsidR="00F93E11">
        <w:rPr>
          <w:rFonts w:asciiTheme="majorHAnsi" w:eastAsia="Times New Roman" w:hAnsiTheme="majorHAnsi" w:cs="Times New Roman"/>
          <w:sz w:val="24"/>
          <w:szCs w:val="24"/>
          <w:lang w:eastAsia="hu-HU"/>
        </w:rPr>
        <w:t>k hatását is megjeleníteni, akár az egyes tárgyak egyedi eredményeire, akár a képzési idő folyamán a teljesítés időpontjára vonatkozóan.</w:t>
      </w:r>
    </w:p>
    <w:p w:rsidR="00F93E11" w:rsidRDefault="0075687C" w:rsidP="008D215F">
      <w:pPr>
        <w:spacing w:after="240" w:line="360" w:lineRule="auto"/>
        <w:jc w:val="both"/>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A kutatás kezdeti hipotézisei beigazolódtak: az emelt szintű, illetve a középszintű érettségivel felvételiző hallgatók mind a kritériumteszten való sikeresség, mind az egyetemi eredményességi pontszám tekintetében számottevően eltérő részmintát alkotnak. Az érettségi százalékos eredményei és az egyetemi eredményesség között gyenge pozitív, szignifikáns korreláció volt megfigyelhető.</w:t>
      </w:r>
    </w:p>
    <w:p w:rsidR="00A52364" w:rsidRDefault="00A52364" w:rsidP="00A52364">
      <w:pPr>
        <w:pStyle w:val="Cmsor1"/>
      </w:pPr>
      <w:bookmarkStart w:id="19" w:name="_Toc503091306"/>
      <w:r>
        <w:lastRenderedPageBreak/>
        <w:t>Felhasznált irodalom</w:t>
      </w:r>
      <w:bookmarkEnd w:id="19"/>
    </w:p>
    <w:p w:rsidR="00A52364" w:rsidRDefault="00A52364" w:rsidP="008D215F">
      <w:pPr>
        <w:spacing w:after="240" w:line="360" w:lineRule="auto"/>
        <w:jc w:val="both"/>
        <w:rPr>
          <w:rFonts w:asciiTheme="majorHAnsi" w:eastAsia="Times New Roman" w:hAnsiTheme="majorHAnsi" w:cs="Times New Roman"/>
          <w:sz w:val="24"/>
          <w:szCs w:val="24"/>
          <w:lang w:eastAsia="hu-HU"/>
        </w:rPr>
      </w:pPr>
      <w:proofErr w:type="spellStart"/>
      <w:r>
        <w:rPr>
          <w:rFonts w:asciiTheme="majorHAnsi" w:eastAsia="Times New Roman" w:hAnsiTheme="majorHAnsi" w:cs="Times New Roman"/>
          <w:sz w:val="24"/>
          <w:szCs w:val="24"/>
          <w:lang w:eastAsia="hu-HU"/>
        </w:rPr>
        <w:t>Badó</w:t>
      </w:r>
      <w:proofErr w:type="spellEnd"/>
      <w:r>
        <w:rPr>
          <w:rFonts w:asciiTheme="majorHAnsi" w:eastAsia="Times New Roman" w:hAnsiTheme="majorHAnsi" w:cs="Times New Roman"/>
          <w:sz w:val="24"/>
          <w:szCs w:val="24"/>
          <w:lang w:eastAsia="hu-HU"/>
        </w:rPr>
        <w:t xml:space="preserve">, </w:t>
      </w:r>
      <w:proofErr w:type="spellStart"/>
      <w:r>
        <w:rPr>
          <w:rFonts w:asciiTheme="majorHAnsi" w:eastAsia="Times New Roman" w:hAnsiTheme="majorHAnsi" w:cs="Times New Roman"/>
          <w:sz w:val="24"/>
          <w:szCs w:val="24"/>
          <w:lang w:eastAsia="hu-HU"/>
        </w:rPr>
        <w:t>Zs</w:t>
      </w:r>
      <w:proofErr w:type="spellEnd"/>
      <w:r>
        <w:rPr>
          <w:rFonts w:asciiTheme="majorHAnsi" w:eastAsia="Times New Roman" w:hAnsiTheme="majorHAnsi" w:cs="Times New Roman"/>
          <w:sz w:val="24"/>
          <w:szCs w:val="24"/>
          <w:lang w:eastAsia="hu-HU"/>
        </w:rPr>
        <w:t xml:space="preserve">. &amp; Józsa, K. (2017.) </w:t>
      </w:r>
      <w:r w:rsidRPr="00A52364">
        <w:rPr>
          <w:rFonts w:asciiTheme="majorHAnsi" w:eastAsia="Times New Roman" w:hAnsiTheme="majorHAnsi" w:cs="Times New Roman"/>
          <w:sz w:val="24"/>
          <w:szCs w:val="24"/>
          <w:lang w:eastAsia="hu-HU"/>
        </w:rPr>
        <w:t>A gimnáziumi felvételi vizsga eredményének és a gimnáziumi tanulás sikerességének kapcsolata</w:t>
      </w:r>
      <w:r>
        <w:rPr>
          <w:rFonts w:asciiTheme="majorHAnsi" w:eastAsia="Times New Roman" w:hAnsiTheme="majorHAnsi" w:cs="Times New Roman"/>
          <w:sz w:val="24"/>
          <w:szCs w:val="24"/>
          <w:lang w:eastAsia="hu-HU"/>
        </w:rPr>
        <w:t xml:space="preserve">. </w:t>
      </w:r>
      <w:r w:rsidRPr="00A52364">
        <w:rPr>
          <w:rFonts w:asciiTheme="majorHAnsi" w:eastAsia="Times New Roman" w:hAnsiTheme="majorHAnsi" w:cs="Times New Roman"/>
          <w:i/>
          <w:sz w:val="24"/>
          <w:szCs w:val="24"/>
          <w:lang w:eastAsia="hu-HU"/>
        </w:rPr>
        <w:t xml:space="preserve">Új </w:t>
      </w:r>
      <w:proofErr w:type="spellStart"/>
      <w:r w:rsidRPr="00A52364">
        <w:rPr>
          <w:rFonts w:asciiTheme="majorHAnsi" w:eastAsia="Times New Roman" w:hAnsiTheme="majorHAnsi" w:cs="Times New Roman"/>
          <w:i/>
          <w:sz w:val="24"/>
          <w:szCs w:val="24"/>
          <w:lang w:eastAsia="hu-HU"/>
        </w:rPr>
        <w:t>Ped</w:t>
      </w:r>
      <w:proofErr w:type="spellEnd"/>
      <w:r w:rsidRPr="00A52364">
        <w:rPr>
          <w:rFonts w:asciiTheme="majorHAnsi" w:eastAsia="Times New Roman" w:hAnsiTheme="majorHAnsi" w:cs="Times New Roman"/>
          <w:i/>
          <w:sz w:val="24"/>
          <w:szCs w:val="24"/>
          <w:lang w:eastAsia="hu-HU"/>
        </w:rPr>
        <w:t>. Szemle</w:t>
      </w:r>
      <w:r>
        <w:rPr>
          <w:rFonts w:asciiTheme="majorHAnsi" w:eastAsia="Times New Roman" w:hAnsiTheme="majorHAnsi" w:cs="Times New Roman"/>
          <w:i/>
          <w:sz w:val="24"/>
          <w:szCs w:val="24"/>
          <w:lang w:eastAsia="hu-HU"/>
        </w:rPr>
        <w:t>.</w:t>
      </w:r>
      <w:r>
        <w:rPr>
          <w:rFonts w:asciiTheme="majorHAnsi" w:eastAsia="Times New Roman" w:hAnsiTheme="majorHAnsi" w:cs="Times New Roman"/>
          <w:sz w:val="24"/>
          <w:szCs w:val="24"/>
          <w:lang w:eastAsia="hu-HU"/>
        </w:rPr>
        <w:t xml:space="preserve"> 2017/1-2</w:t>
      </w:r>
      <w:r>
        <w:rPr>
          <w:rFonts w:asciiTheme="majorHAnsi" w:eastAsia="Times New Roman" w:hAnsiTheme="majorHAnsi" w:cs="Times New Roman"/>
          <w:sz w:val="24"/>
          <w:szCs w:val="24"/>
          <w:lang w:eastAsia="hu-HU"/>
        </w:rPr>
        <w:tab/>
      </w:r>
      <w:r>
        <w:rPr>
          <w:rFonts w:asciiTheme="majorHAnsi" w:eastAsia="Times New Roman" w:hAnsiTheme="majorHAnsi" w:cs="Times New Roman"/>
          <w:sz w:val="24"/>
          <w:szCs w:val="24"/>
          <w:lang w:eastAsia="hu-HU"/>
        </w:rPr>
        <w:br/>
        <w:t>(</w:t>
      </w:r>
      <w:hyperlink r:id="rId15" w:history="1">
        <w:r w:rsidRPr="00A52364">
          <w:rPr>
            <w:rStyle w:val="Hiperhivatkozs"/>
            <w:rFonts w:asciiTheme="majorHAnsi" w:eastAsia="Times New Roman" w:hAnsiTheme="majorHAnsi" w:cs="Times New Roman"/>
            <w:sz w:val="24"/>
            <w:szCs w:val="24"/>
            <w:lang w:eastAsia="hu-HU"/>
          </w:rPr>
          <w:t>online</w:t>
        </w:r>
      </w:hyperlink>
      <w:r>
        <w:rPr>
          <w:rFonts w:asciiTheme="majorHAnsi" w:eastAsia="Times New Roman" w:hAnsiTheme="majorHAnsi" w:cs="Times New Roman"/>
          <w:sz w:val="24"/>
          <w:szCs w:val="24"/>
          <w:lang w:eastAsia="hu-HU"/>
        </w:rPr>
        <w:t>; hozzáférés dátuma: 2018.01.06.)</w:t>
      </w:r>
    </w:p>
    <w:p w:rsidR="00A52364" w:rsidRDefault="00A52364" w:rsidP="008D215F">
      <w:pPr>
        <w:spacing w:after="240" w:line="360" w:lineRule="auto"/>
        <w:jc w:val="both"/>
        <w:rPr>
          <w:rFonts w:asciiTheme="majorHAnsi" w:eastAsia="Times New Roman" w:hAnsiTheme="majorHAnsi" w:cs="Times New Roman"/>
          <w:sz w:val="24"/>
          <w:szCs w:val="24"/>
          <w:lang w:eastAsia="hu-HU"/>
        </w:rPr>
      </w:pPr>
      <w:r w:rsidRPr="00A52364">
        <w:rPr>
          <w:rFonts w:asciiTheme="majorHAnsi" w:eastAsia="Times New Roman" w:hAnsiTheme="majorHAnsi" w:cs="Times New Roman"/>
          <w:sz w:val="24"/>
          <w:szCs w:val="24"/>
          <w:lang w:eastAsia="hu-HU"/>
        </w:rPr>
        <w:t xml:space="preserve">Csapodi, </w:t>
      </w:r>
      <w:proofErr w:type="spellStart"/>
      <w:r w:rsidRPr="00A52364">
        <w:rPr>
          <w:rFonts w:asciiTheme="majorHAnsi" w:eastAsia="Times New Roman" w:hAnsiTheme="majorHAnsi" w:cs="Times New Roman"/>
          <w:sz w:val="24"/>
          <w:szCs w:val="24"/>
          <w:lang w:eastAsia="hu-HU"/>
        </w:rPr>
        <w:t>Cs</w:t>
      </w:r>
      <w:proofErr w:type="spellEnd"/>
      <w:r w:rsidRPr="00A52364">
        <w:rPr>
          <w:rFonts w:asciiTheme="majorHAnsi" w:eastAsia="Times New Roman" w:hAnsiTheme="majorHAnsi" w:cs="Times New Roman"/>
          <w:sz w:val="24"/>
          <w:szCs w:val="24"/>
          <w:lang w:eastAsia="hu-HU"/>
        </w:rPr>
        <w:t xml:space="preserve">. (2017.) </w:t>
      </w:r>
      <w:r w:rsidRPr="00A52364">
        <w:rPr>
          <w:rFonts w:asciiTheme="majorHAnsi" w:eastAsia="Times New Roman" w:hAnsiTheme="majorHAnsi" w:cs="Times New Roman"/>
          <w:i/>
          <w:sz w:val="24"/>
          <w:szCs w:val="24"/>
          <w:lang w:eastAsia="hu-HU"/>
        </w:rPr>
        <w:t>„</w:t>
      </w:r>
      <w:r w:rsidRPr="00A52364">
        <w:rPr>
          <w:rFonts w:asciiTheme="majorHAnsi" w:hAnsiTheme="majorHAnsi"/>
          <w:i/>
          <w:sz w:val="24"/>
          <w:szCs w:val="24"/>
        </w:rPr>
        <w:t>A MATEMATIKA ÉRETTSÉGI VIZSGA ELEMZÉSE 2005-2015</w:t>
      </w:r>
      <w:r w:rsidRPr="00A52364">
        <w:rPr>
          <w:rFonts w:asciiTheme="majorHAnsi" w:eastAsia="Times New Roman" w:hAnsiTheme="majorHAnsi" w:cs="Times New Roman"/>
          <w:i/>
          <w:sz w:val="24"/>
          <w:szCs w:val="24"/>
          <w:lang w:eastAsia="hu-HU"/>
        </w:rPr>
        <w:t>” PhD-értekezés</w:t>
      </w:r>
      <w:r>
        <w:rPr>
          <w:rFonts w:asciiTheme="majorHAnsi" w:eastAsia="Times New Roman" w:hAnsiTheme="majorHAnsi" w:cs="Times New Roman"/>
          <w:sz w:val="24"/>
          <w:szCs w:val="24"/>
          <w:lang w:eastAsia="hu-HU"/>
        </w:rPr>
        <w:t>. Debrecen.</w:t>
      </w:r>
      <w:r>
        <w:rPr>
          <w:rFonts w:asciiTheme="majorHAnsi" w:eastAsia="Times New Roman" w:hAnsiTheme="majorHAnsi" w:cs="Times New Roman"/>
          <w:sz w:val="24"/>
          <w:szCs w:val="24"/>
          <w:lang w:eastAsia="hu-HU"/>
        </w:rPr>
        <w:tab/>
      </w:r>
      <w:r>
        <w:rPr>
          <w:rFonts w:asciiTheme="majorHAnsi" w:eastAsia="Times New Roman" w:hAnsiTheme="majorHAnsi" w:cs="Times New Roman"/>
          <w:sz w:val="24"/>
          <w:szCs w:val="24"/>
          <w:lang w:eastAsia="hu-HU"/>
        </w:rPr>
        <w:br/>
        <w:t>(</w:t>
      </w:r>
      <w:hyperlink r:id="rId16" w:history="1">
        <w:r w:rsidRPr="00A52364">
          <w:rPr>
            <w:rStyle w:val="Hiperhivatkozs"/>
            <w:rFonts w:asciiTheme="majorHAnsi" w:eastAsia="Times New Roman" w:hAnsiTheme="majorHAnsi" w:cs="Times New Roman"/>
            <w:sz w:val="24"/>
            <w:szCs w:val="24"/>
            <w:lang w:eastAsia="hu-HU"/>
          </w:rPr>
          <w:t>online</w:t>
        </w:r>
      </w:hyperlink>
      <w:r>
        <w:rPr>
          <w:rFonts w:asciiTheme="majorHAnsi" w:eastAsia="Times New Roman" w:hAnsiTheme="majorHAnsi" w:cs="Times New Roman"/>
          <w:sz w:val="24"/>
          <w:szCs w:val="24"/>
          <w:lang w:eastAsia="hu-HU"/>
        </w:rPr>
        <w:t>; hozzáférés dátuma: 2018.01.05.)</w:t>
      </w:r>
    </w:p>
    <w:p w:rsidR="00F23991" w:rsidRPr="00F23991" w:rsidRDefault="00F23991" w:rsidP="008D215F">
      <w:pPr>
        <w:spacing w:after="240" w:line="360" w:lineRule="auto"/>
        <w:jc w:val="both"/>
        <w:rPr>
          <w:rFonts w:asciiTheme="majorHAnsi" w:eastAsia="Times New Roman" w:hAnsiTheme="majorHAnsi" w:cs="Times New Roman"/>
          <w:b/>
          <w:sz w:val="24"/>
          <w:szCs w:val="24"/>
          <w:lang w:eastAsia="hu-HU"/>
        </w:rPr>
      </w:pPr>
      <w:r w:rsidRPr="00F23991">
        <w:rPr>
          <w:rFonts w:asciiTheme="majorHAnsi" w:eastAsia="Times New Roman" w:hAnsiTheme="majorHAnsi" w:cs="Times New Roman"/>
          <w:b/>
          <w:sz w:val="24"/>
          <w:szCs w:val="24"/>
          <w:lang w:eastAsia="hu-HU"/>
        </w:rPr>
        <w:t>Ábrák jegyzéke</w:t>
      </w:r>
    </w:p>
    <w:p w:rsidR="00F23991" w:rsidRPr="00F23991" w:rsidRDefault="00F23991" w:rsidP="00F23991">
      <w:pPr>
        <w:pStyle w:val="brajegyzk"/>
        <w:tabs>
          <w:tab w:val="right" w:pos="9062"/>
        </w:tabs>
        <w:spacing w:line="360" w:lineRule="auto"/>
        <w:rPr>
          <w:rFonts w:asciiTheme="majorHAnsi" w:eastAsiaTheme="minorEastAsia" w:hAnsiTheme="majorHAnsi"/>
          <w:noProof/>
          <w:lang w:eastAsia="hu-HU"/>
        </w:rPr>
      </w:pPr>
      <w:r w:rsidRPr="00F23991">
        <w:rPr>
          <w:rFonts w:asciiTheme="majorHAnsi" w:eastAsia="Times New Roman" w:hAnsiTheme="majorHAnsi" w:cs="Times New Roman"/>
          <w:lang w:eastAsia="hu-HU"/>
        </w:rPr>
        <w:fldChar w:fldCharType="begin"/>
      </w:r>
      <w:r w:rsidRPr="00F23991">
        <w:rPr>
          <w:rFonts w:asciiTheme="majorHAnsi" w:eastAsia="Times New Roman" w:hAnsiTheme="majorHAnsi" w:cs="Times New Roman"/>
          <w:lang w:eastAsia="hu-HU"/>
        </w:rPr>
        <w:instrText xml:space="preserve"> TOC \h \z \c "ábra" </w:instrText>
      </w:r>
      <w:r w:rsidRPr="00F23991">
        <w:rPr>
          <w:rFonts w:asciiTheme="majorHAnsi" w:eastAsia="Times New Roman" w:hAnsiTheme="majorHAnsi" w:cs="Times New Roman"/>
          <w:lang w:eastAsia="hu-HU"/>
        </w:rPr>
        <w:fldChar w:fldCharType="separate"/>
      </w:r>
      <w:hyperlink w:anchor="_Toc503091139" w:history="1">
        <w:r w:rsidRPr="00F23991">
          <w:rPr>
            <w:rStyle w:val="Hiperhivatkozs"/>
            <w:rFonts w:asciiTheme="majorHAnsi" w:hAnsiTheme="majorHAnsi"/>
            <w:noProof/>
          </w:rPr>
          <w:t>1. ábra – A mint</w:t>
        </w:r>
        <w:bookmarkStart w:id="20" w:name="_GoBack"/>
        <w:bookmarkEnd w:id="20"/>
        <w:r w:rsidRPr="00F23991">
          <w:rPr>
            <w:rStyle w:val="Hiperhivatkozs"/>
            <w:rFonts w:asciiTheme="majorHAnsi" w:hAnsiTheme="majorHAnsi"/>
            <w:noProof/>
          </w:rPr>
          <w:t>a megoszlása az érettségizők által letett vizsga típusa szerint</w:t>
        </w:r>
        <w:r w:rsidRPr="00F23991">
          <w:rPr>
            <w:rFonts w:asciiTheme="majorHAnsi" w:hAnsiTheme="majorHAnsi"/>
            <w:noProof/>
            <w:webHidden/>
          </w:rPr>
          <w:tab/>
        </w:r>
        <w:r w:rsidRPr="00F23991">
          <w:rPr>
            <w:rFonts w:asciiTheme="majorHAnsi" w:hAnsiTheme="majorHAnsi"/>
            <w:noProof/>
            <w:webHidden/>
          </w:rPr>
          <w:fldChar w:fldCharType="begin"/>
        </w:r>
        <w:r w:rsidRPr="00F23991">
          <w:rPr>
            <w:rFonts w:asciiTheme="majorHAnsi" w:hAnsiTheme="majorHAnsi"/>
            <w:noProof/>
            <w:webHidden/>
          </w:rPr>
          <w:instrText xml:space="preserve"> PAGEREF _Toc503091139 \h </w:instrText>
        </w:r>
        <w:r w:rsidRPr="00F23991">
          <w:rPr>
            <w:rFonts w:asciiTheme="majorHAnsi" w:hAnsiTheme="majorHAnsi"/>
            <w:noProof/>
            <w:webHidden/>
          </w:rPr>
        </w:r>
        <w:r w:rsidRPr="00F23991">
          <w:rPr>
            <w:rFonts w:asciiTheme="majorHAnsi" w:hAnsiTheme="majorHAnsi"/>
            <w:noProof/>
            <w:webHidden/>
          </w:rPr>
          <w:fldChar w:fldCharType="separate"/>
        </w:r>
        <w:r w:rsidR="009F3A94">
          <w:rPr>
            <w:rFonts w:asciiTheme="majorHAnsi" w:hAnsiTheme="majorHAnsi"/>
            <w:noProof/>
            <w:webHidden/>
          </w:rPr>
          <w:t>4</w:t>
        </w:r>
        <w:r w:rsidRPr="00F23991">
          <w:rPr>
            <w:rFonts w:asciiTheme="majorHAnsi" w:hAnsiTheme="majorHAnsi"/>
            <w:noProof/>
            <w:webHidden/>
          </w:rPr>
          <w:fldChar w:fldCharType="end"/>
        </w:r>
      </w:hyperlink>
    </w:p>
    <w:p w:rsidR="00F23991" w:rsidRPr="00F23991" w:rsidRDefault="00F23991" w:rsidP="00F23991">
      <w:pPr>
        <w:pStyle w:val="brajegyzk"/>
        <w:tabs>
          <w:tab w:val="right" w:pos="9062"/>
        </w:tabs>
        <w:spacing w:line="360" w:lineRule="auto"/>
        <w:rPr>
          <w:rFonts w:asciiTheme="majorHAnsi" w:eastAsiaTheme="minorEastAsia" w:hAnsiTheme="majorHAnsi"/>
          <w:noProof/>
          <w:lang w:eastAsia="hu-HU"/>
        </w:rPr>
      </w:pPr>
      <w:hyperlink w:anchor="_Toc503091140" w:history="1">
        <w:r w:rsidRPr="00F23991">
          <w:rPr>
            <w:rStyle w:val="Hiperhivatkozs"/>
            <w:rFonts w:asciiTheme="majorHAnsi" w:hAnsiTheme="majorHAnsi"/>
            <w:noProof/>
          </w:rPr>
          <w:t>2. ábra – A minta megoszlása a felvettek által tett vizsga időpontja szerint</w:t>
        </w:r>
        <w:r w:rsidRPr="00F23991">
          <w:rPr>
            <w:rFonts w:asciiTheme="majorHAnsi" w:hAnsiTheme="majorHAnsi"/>
            <w:noProof/>
            <w:webHidden/>
          </w:rPr>
          <w:tab/>
        </w:r>
        <w:r w:rsidRPr="00F23991">
          <w:rPr>
            <w:rFonts w:asciiTheme="majorHAnsi" w:hAnsiTheme="majorHAnsi"/>
            <w:noProof/>
            <w:webHidden/>
          </w:rPr>
          <w:fldChar w:fldCharType="begin"/>
        </w:r>
        <w:r w:rsidRPr="00F23991">
          <w:rPr>
            <w:rFonts w:asciiTheme="majorHAnsi" w:hAnsiTheme="majorHAnsi"/>
            <w:noProof/>
            <w:webHidden/>
          </w:rPr>
          <w:instrText xml:space="preserve"> PAGEREF _Toc503091140 \h </w:instrText>
        </w:r>
        <w:r w:rsidRPr="00F23991">
          <w:rPr>
            <w:rFonts w:asciiTheme="majorHAnsi" w:hAnsiTheme="majorHAnsi"/>
            <w:noProof/>
            <w:webHidden/>
          </w:rPr>
        </w:r>
        <w:r w:rsidRPr="00F23991">
          <w:rPr>
            <w:rFonts w:asciiTheme="majorHAnsi" w:hAnsiTheme="majorHAnsi"/>
            <w:noProof/>
            <w:webHidden/>
          </w:rPr>
          <w:fldChar w:fldCharType="separate"/>
        </w:r>
        <w:r w:rsidR="009F3A94">
          <w:rPr>
            <w:rFonts w:asciiTheme="majorHAnsi" w:hAnsiTheme="majorHAnsi"/>
            <w:noProof/>
            <w:webHidden/>
          </w:rPr>
          <w:t>5</w:t>
        </w:r>
        <w:r w:rsidRPr="00F23991">
          <w:rPr>
            <w:rFonts w:asciiTheme="majorHAnsi" w:hAnsiTheme="majorHAnsi"/>
            <w:noProof/>
            <w:webHidden/>
          </w:rPr>
          <w:fldChar w:fldCharType="end"/>
        </w:r>
      </w:hyperlink>
    </w:p>
    <w:p w:rsidR="00F23991" w:rsidRPr="00F23991" w:rsidRDefault="00F23991" w:rsidP="00F23991">
      <w:pPr>
        <w:pStyle w:val="brajegyzk"/>
        <w:tabs>
          <w:tab w:val="right" w:pos="9062"/>
        </w:tabs>
        <w:spacing w:line="360" w:lineRule="auto"/>
        <w:ind w:left="851" w:hanging="851"/>
        <w:rPr>
          <w:rFonts w:asciiTheme="majorHAnsi" w:eastAsiaTheme="minorEastAsia" w:hAnsiTheme="majorHAnsi"/>
          <w:noProof/>
          <w:lang w:eastAsia="hu-HU"/>
        </w:rPr>
      </w:pPr>
      <w:hyperlink w:anchor="_Toc503091141" w:history="1">
        <w:r w:rsidRPr="00F23991">
          <w:rPr>
            <w:rStyle w:val="Hiperhivatkozs"/>
            <w:rFonts w:asciiTheme="majorHAnsi" w:hAnsiTheme="majorHAnsi"/>
            <w:noProof/>
          </w:rPr>
          <w:t>3. ábra – A hasonlóságelemzéssel maghatározott egyetemi eredményesség és az elhagyott tanegységek figyelembe vételével számított tanulmányi átlag közötti összefüggés</w:t>
        </w:r>
        <w:r w:rsidRPr="00F23991">
          <w:rPr>
            <w:rFonts w:asciiTheme="majorHAnsi" w:hAnsiTheme="majorHAnsi"/>
            <w:noProof/>
            <w:webHidden/>
          </w:rPr>
          <w:tab/>
        </w:r>
        <w:r w:rsidRPr="00F23991">
          <w:rPr>
            <w:rFonts w:asciiTheme="majorHAnsi" w:hAnsiTheme="majorHAnsi"/>
            <w:noProof/>
            <w:webHidden/>
          </w:rPr>
          <w:fldChar w:fldCharType="begin"/>
        </w:r>
        <w:r w:rsidRPr="00F23991">
          <w:rPr>
            <w:rFonts w:asciiTheme="majorHAnsi" w:hAnsiTheme="majorHAnsi"/>
            <w:noProof/>
            <w:webHidden/>
          </w:rPr>
          <w:instrText xml:space="preserve"> PAGEREF _Toc503091141 \h </w:instrText>
        </w:r>
        <w:r w:rsidRPr="00F23991">
          <w:rPr>
            <w:rFonts w:asciiTheme="majorHAnsi" w:hAnsiTheme="majorHAnsi"/>
            <w:noProof/>
            <w:webHidden/>
          </w:rPr>
        </w:r>
        <w:r w:rsidRPr="00F23991">
          <w:rPr>
            <w:rFonts w:asciiTheme="majorHAnsi" w:hAnsiTheme="majorHAnsi"/>
            <w:noProof/>
            <w:webHidden/>
          </w:rPr>
          <w:fldChar w:fldCharType="separate"/>
        </w:r>
        <w:r w:rsidR="009F3A94">
          <w:rPr>
            <w:rFonts w:asciiTheme="majorHAnsi" w:hAnsiTheme="majorHAnsi"/>
            <w:noProof/>
            <w:webHidden/>
          </w:rPr>
          <w:t>11</w:t>
        </w:r>
        <w:r w:rsidRPr="00F23991">
          <w:rPr>
            <w:rFonts w:asciiTheme="majorHAnsi" w:hAnsiTheme="majorHAnsi"/>
            <w:noProof/>
            <w:webHidden/>
          </w:rPr>
          <w:fldChar w:fldCharType="end"/>
        </w:r>
      </w:hyperlink>
    </w:p>
    <w:p w:rsidR="00F23991" w:rsidRPr="00F23991" w:rsidRDefault="00F23991" w:rsidP="00F23991">
      <w:pPr>
        <w:pStyle w:val="brajegyzk"/>
        <w:tabs>
          <w:tab w:val="right" w:pos="9062"/>
        </w:tabs>
        <w:spacing w:line="360" w:lineRule="auto"/>
        <w:rPr>
          <w:rFonts w:asciiTheme="majorHAnsi" w:eastAsiaTheme="minorEastAsia" w:hAnsiTheme="majorHAnsi"/>
          <w:noProof/>
          <w:lang w:eastAsia="hu-HU"/>
        </w:rPr>
      </w:pPr>
      <w:hyperlink w:anchor="_Toc503091142" w:history="1">
        <w:r w:rsidRPr="00F23991">
          <w:rPr>
            <w:rStyle w:val="Hiperhivatkozs"/>
            <w:rFonts w:asciiTheme="majorHAnsi" w:hAnsiTheme="majorHAnsi"/>
            <w:noProof/>
          </w:rPr>
          <w:t>4. ábra – A hasonlóságelemzéssel meghatározott egyetemi eredményesség eloszlása</w:t>
        </w:r>
        <w:r w:rsidRPr="00F23991">
          <w:rPr>
            <w:rFonts w:asciiTheme="majorHAnsi" w:hAnsiTheme="majorHAnsi"/>
            <w:noProof/>
            <w:webHidden/>
          </w:rPr>
          <w:tab/>
        </w:r>
        <w:r w:rsidRPr="00F23991">
          <w:rPr>
            <w:rFonts w:asciiTheme="majorHAnsi" w:hAnsiTheme="majorHAnsi"/>
            <w:noProof/>
            <w:webHidden/>
          </w:rPr>
          <w:fldChar w:fldCharType="begin"/>
        </w:r>
        <w:r w:rsidRPr="00F23991">
          <w:rPr>
            <w:rFonts w:asciiTheme="majorHAnsi" w:hAnsiTheme="majorHAnsi"/>
            <w:noProof/>
            <w:webHidden/>
          </w:rPr>
          <w:instrText xml:space="preserve"> PAGEREF _Toc503091142 \h </w:instrText>
        </w:r>
        <w:r w:rsidRPr="00F23991">
          <w:rPr>
            <w:rFonts w:asciiTheme="majorHAnsi" w:hAnsiTheme="majorHAnsi"/>
            <w:noProof/>
            <w:webHidden/>
          </w:rPr>
        </w:r>
        <w:r w:rsidRPr="00F23991">
          <w:rPr>
            <w:rFonts w:asciiTheme="majorHAnsi" w:hAnsiTheme="majorHAnsi"/>
            <w:noProof/>
            <w:webHidden/>
          </w:rPr>
          <w:fldChar w:fldCharType="separate"/>
        </w:r>
        <w:r w:rsidR="009F3A94">
          <w:rPr>
            <w:rFonts w:asciiTheme="majorHAnsi" w:hAnsiTheme="majorHAnsi"/>
            <w:noProof/>
            <w:webHidden/>
          </w:rPr>
          <w:t>12</w:t>
        </w:r>
        <w:r w:rsidRPr="00F23991">
          <w:rPr>
            <w:rFonts w:asciiTheme="majorHAnsi" w:hAnsiTheme="majorHAnsi"/>
            <w:noProof/>
            <w:webHidden/>
          </w:rPr>
          <w:fldChar w:fldCharType="end"/>
        </w:r>
      </w:hyperlink>
    </w:p>
    <w:p w:rsidR="00F23991" w:rsidRPr="00F23991" w:rsidRDefault="00F23991" w:rsidP="00F23991">
      <w:pPr>
        <w:pStyle w:val="brajegyzk"/>
        <w:tabs>
          <w:tab w:val="right" w:pos="9062"/>
        </w:tabs>
        <w:spacing w:line="360" w:lineRule="auto"/>
        <w:rPr>
          <w:rFonts w:asciiTheme="majorHAnsi" w:eastAsiaTheme="minorEastAsia" w:hAnsiTheme="majorHAnsi"/>
          <w:noProof/>
          <w:lang w:eastAsia="hu-HU"/>
        </w:rPr>
      </w:pPr>
      <w:hyperlink w:anchor="_Toc503091143" w:history="1">
        <w:r w:rsidRPr="00F23991">
          <w:rPr>
            <w:rStyle w:val="Hiperhivatkozs"/>
            <w:rFonts w:asciiTheme="majorHAnsi" w:hAnsiTheme="majorHAnsi"/>
            <w:noProof/>
          </w:rPr>
          <w:t>5. ábra – Az egyetemi eredményesség és az érettségi eredmények kapcsolata</w:t>
        </w:r>
        <w:r w:rsidRPr="00F23991">
          <w:rPr>
            <w:rFonts w:asciiTheme="majorHAnsi" w:hAnsiTheme="majorHAnsi"/>
            <w:noProof/>
            <w:webHidden/>
          </w:rPr>
          <w:tab/>
        </w:r>
        <w:r w:rsidRPr="00F23991">
          <w:rPr>
            <w:rFonts w:asciiTheme="majorHAnsi" w:hAnsiTheme="majorHAnsi"/>
            <w:noProof/>
            <w:webHidden/>
          </w:rPr>
          <w:fldChar w:fldCharType="begin"/>
        </w:r>
        <w:r w:rsidRPr="00F23991">
          <w:rPr>
            <w:rFonts w:asciiTheme="majorHAnsi" w:hAnsiTheme="majorHAnsi"/>
            <w:noProof/>
            <w:webHidden/>
          </w:rPr>
          <w:instrText xml:space="preserve"> PAGEREF _Toc503091143 \h </w:instrText>
        </w:r>
        <w:r w:rsidRPr="00F23991">
          <w:rPr>
            <w:rFonts w:asciiTheme="majorHAnsi" w:hAnsiTheme="majorHAnsi"/>
            <w:noProof/>
            <w:webHidden/>
          </w:rPr>
        </w:r>
        <w:r w:rsidRPr="00F23991">
          <w:rPr>
            <w:rFonts w:asciiTheme="majorHAnsi" w:hAnsiTheme="majorHAnsi"/>
            <w:noProof/>
            <w:webHidden/>
          </w:rPr>
          <w:fldChar w:fldCharType="separate"/>
        </w:r>
        <w:r w:rsidR="009F3A94">
          <w:rPr>
            <w:rFonts w:asciiTheme="majorHAnsi" w:hAnsiTheme="majorHAnsi"/>
            <w:noProof/>
            <w:webHidden/>
          </w:rPr>
          <w:t>12</w:t>
        </w:r>
        <w:r w:rsidRPr="00F23991">
          <w:rPr>
            <w:rFonts w:asciiTheme="majorHAnsi" w:hAnsiTheme="majorHAnsi"/>
            <w:noProof/>
            <w:webHidden/>
          </w:rPr>
          <w:fldChar w:fldCharType="end"/>
        </w:r>
      </w:hyperlink>
    </w:p>
    <w:p w:rsidR="00F23991" w:rsidRPr="00F23991" w:rsidRDefault="00F23991" w:rsidP="00F23991">
      <w:pPr>
        <w:pStyle w:val="brajegyzk"/>
        <w:tabs>
          <w:tab w:val="right" w:pos="9062"/>
        </w:tabs>
        <w:spacing w:after="120" w:line="360" w:lineRule="auto"/>
        <w:rPr>
          <w:rFonts w:asciiTheme="majorHAnsi" w:eastAsiaTheme="minorEastAsia" w:hAnsiTheme="majorHAnsi"/>
          <w:noProof/>
          <w:lang w:eastAsia="hu-HU"/>
        </w:rPr>
      </w:pPr>
      <w:hyperlink w:anchor="_Toc503091144" w:history="1">
        <w:r w:rsidRPr="00F23991">
          <w:rPr>
            <w:rStyle w:val="Hiperhivatkozs"/>
            <w:rFonts w:asciiTheme="majorHAnsi" w:hAnsiTheme="majorHAnsi"/>
            <w:noProof/>
          </w:rPr>
          <w:t>6. ábra – A COCO-Y0 pontszám megoszlása az érettségi típusa szerint</w:t>
        </w:r>
        <w:r w:rsidRPr="00F23991">
          <w:rPr>
            <w:rFonts w:asciiTheme="majorHAnsi" w:hAnsiTheme="majorHAnsi"/>
            <w:noProof/>
            <w:webHidden/>
          </w:rPr>
          <w:tab/>
        </w:r>
        <w:r w:rsidRPr="00F23991">
          <w:rPr>
            <w:rFonts w:asciiTheme="majorHAnsi" w:hAnsiTheme="majorHAnsi"/>
            <w:noProof/>
            <w:webHidden/>
          </w:rPr>
          <w:fldChar w:fldCharType="begin"/>
        </w:r>
        <w:r w:rsidRPr="00F23991">
          <w:rPr>
            <w:rFonts w:asciiTheme="majorHAnsi" w:hAnsiTheme="majorHAnsi"/>
            <w:noProof/>
            <w:webHidden/>
          </w:rPr>
          <w:instrText xml:space="preserve"> PAGEREF _Toc503091144 \h </w:instrText>
        </w:r>
        <w:r w:rsidRPr="00F23991">
          <w:rPr>
            <w:rFonts w:asciiTheme="majorHAnsi" w:hAnsiTheme="majorHAnsi"/>
            <w:noProof/>
            <w:webHidden/>
          </w:rPr>
        </w:r>
        <w:r w:rsidRPr="00F23991">
          <w:rPr>
            <w:rFonts w:asciiTheme="majorHAnsi" w:hAnsiTheme="majorHAnsi"/>
            <w:noProof/>
            <w:webHidden/>
          </w:rPr>
          <w:fldChar w:fldCharType="separate"/>
        </w:r>
        <w:r w:rsidR="009F3A94">
          <w:rPr>
            <w:rFonts w:asciiTheme="majorHAnsi" w:hAnsiTheme="majorHAnsi"/>
            <w:noProof/>
            <w:webHidden/>
          </w:rPr>
          <w:t>13</w:t>
        </w:r>
        <w:r w:rsidRPr="00F23991">
          <w:rPr>
            <w:rFonts w:asciiTheme="majorHAnsi" w:hAnsiTheme="majorHAnsi"/>
            <w:noProof/>
            <w:webHidden/>
          </w:rPr>
          <w:fldChar w:fldCharType="end"/>
        </w:r>
      </w:hyperlink>
    </w:p>
    <w:p w:rsidR="00BF7D44" w:rsidRPr="00F23991" w:rsidRDefault="00F23991" w:rsidP="00BF7D44">
      <w:pPr>
        <w:spacing w:after="0" w:line="240" w:lineRule="auto"/>
        <w:jc w:val="both"/>
        <w:rPr>
          <w:rFonts w:asciiTheme="majorHAnsi" w:eastAsia="Times New Roman" w:hAnsiTheme="majorHAnsi" w:cs="Times New Roman"/>
          <w:b/>
          <w:sz w:val="24"/>
          <w:szCs w:val="24"/>
          <w:lang w:eastAsia="hu-HU"/>
        </w:rPr>
      </w:pPr>
      <w:r w:rsidRPr="00F23991">
        <w:rPr>
          <w:rFonts w:asciiTheme="majorHAnsi" w:eastAsia="Times New Roman" w:hAnsiTheme="majorHAnsi" w:cs="Times New Roman"/>
          <w:lang w:eastAsia="hu-HU"/>
        </w:rPr>
        <w:fldChar w:fldCharType="end"/>
      </w:r>
    </w:p>
    <w:sdt>
      <w:sdtPr>
        <w:rPr>
          <w:color w:val="000000" w:themeColor="text1"/>
          <w:sz w:val="24"/>
          <w:szCs w:val="22"/>
        </w:rPr>
        <w:id w:val="1949508778"/>
        <w:docPartObj>
          <w:docPartGallery w:val="Table of Contents"/>
          <w:docPartUnique/>
        </w:docPartObj>
      </w:sdtPr>
      <w:sdtEndPr>
        <w:rPr>
          <w:rFonts w:eastAsiaTheme="minorHAnsi" w:cstheme="minorBidi"/>
          <w:color w:val="auto"/>
          <w:sz w:val="22"/>
          <w:lang w:eastAsia="en-US"/>
        </w:rPr>
      </w:sdtEndPr>
      <w:sdtContent>
        <w:p w:rsidR="00BF7D44" w:rsidRPr="00BF7D44" w:rsidRDefault="00BF7D44" w:rsidP="00BF7D44">
          <w:pPr>
            <w:pStyle w:val="Tartalomjegyzkcmsora"/>
            <w:spacing w:before="0" w:after="240"/>
            <w:rPr>
              <w:color w:val="000000" w:themeColor="text1"/>
              <w:sz w:val="24"/>
              <w:szCs w:val="22"/>
            </w:rPr>
          </w:pPr>
          <w:r w:rsidRPr="00BF7D44">
            <w:rPr>
              <w:color w:val="000000" w:themeColor="text1"/>
              <w:sz w:val="24"/>
              <w:szCs w:val="22"/>
            </w:rPr>
            <w:t>Tartalom</w:t>
          </w:r>
        </w:p>
        <w:p w:rsidR="00BF7D44" w:rsidRPr="00BF7D44" w:rsidRDefault="00BF7D44" w:rsidP="00BF7D44">
          <w:pPr>
            <w:pStyle w:val="TJ1"/>
            <w:rPr>
              <w:noProof/>
            </w:rPr>
          </w:pPr>
          <w:r w:rsidRPr="00BF7D44">
            <w:fldChar w:fldCharType="begin"/>
          </w:r>
          <w:r w:rsidRPr="00BF7D44">
            <w:instrText xml:space="preserve"> TOC \o "1-3" \h \z \u </w:instrText>
          </w:r>
          <w:r w:rsidRPr="00BF7D44">
            <w:fldChar w:fldCharType="separate"/>
          </w:r>
          <w:hyperlink w:anchor="_Toc503091293" w:history="1">
            <w:r w:rsidRPr="00BF7D44">
              <w:rPr>
                <w:rStyle w:val="Hiperhivatkozs"/>
                <w:rFonts w:asciiTheme="majorHAnsi" w:hAnsiTheme="majorHAnsi"/>
                <w:noProof/>
              </w:rPr>
              <w:t>Bevezetés</w:t>
            </w:r>
            <w:r w:rsidRPr="00BF7D44">
              <w:rPr>
                <w:noProof/>
                <w:webHidden/>
              </w:rPr>
              <w:tab/>
            </w:r>
            <w:r w:rsidRPr="00BF7D44">
              <w:rPr>
                <w:noProof/>
                <w:webHidden/>
              </w:rPr>
              <w:fldChar w:fldCharType="begin"/>
            </w:r>
            <w:r w:rsidRPr="00BF7D44">
              <w:rPr>
                <w:noProof/>
                <w:webHidden/>
              </w:rPr>
              <w:instrText xml:space="preserve"> PAGEREF _Toc503091293 \h </w:instrText>
            </w:r>
            <w:r w:rsidRPr="00BF7D44">
              <w:rPr>
                <w:noProof/>
                <w:webHidden/>
              </w:rPr>
            </w:r>
            <w:r w:rsidRPr="00BF7D44">
              <w:rPr>
                <w:noProof/>
                <w:webHidden/>
              </w:rPr>
              <w:fldChar w:fldCharType="separate"/>
            </w:r>
            <w:r w:rsidR="009F3A94">
              <w:rPr>
                <w:noProof/>
                <w:webHidden/>
              </w:rPr>
              <w:t>1</w:t>
            </w:r>
            <w:r w:rsidRPr="00BF7D44">
              <w:rPr>
                <w:noProof/>
                <w:webHidden/>
              </w:rPr>
              <w:fldChar w:fldCharType="end"/>
            </w:r>
          </w:hyperlink>
        </w:p>
        <w:p w:rsidR="00BF7D44" w:rsidRPr="00BF7D44" w:rsidRDefault="00BF7D44" w:rsidP="00BF7D44">
          <w:pPr>
            <w:pStyle w:val="TJ1"/>
            <w:rPr>
              <w:noProof/>
            </w:rPr>
          </w:pPr>
          <w:hyperlink w:anchor="_Toc503091294" w:history="1">
            <w:r w:rsidRPr="00BF7D44">
              <w:rPr>
                <w:rStyle w:val="Hiperhivatkozs"/>
                <w:rFonts w:asciiTheme="majorHAnsi" w:hAnsiTheme="majorHAnsi"/>
                <w:noProof/>
              </w:rPr>
              <w:t>Anyag és módszer</w:t>
            </w:r>
            <w:r w:rsidRPr="00BF7D44">
              <w:rPr>
                <w:noProof/>
                <w:webHidden/>
              </w:rPr>
              <w:tab/>
            </w:r>
            <w:r w:rsidRPr="00BF7D44">
              <w:rPr>
                <w:noProof/>
                <w:webHidden/>
              </w:rPr>
              <w:fldChar w:fldCharType="begin"/>
            </w:r>
            <w:r w:rsidRPr="00BF7D44">
              <w:rPr>
                <w:noProof/>
                <w:webHidden/>
              </w:rPr>
              <w:instrText xml:space="preserve"> PAGEREF _Toc503091294 \h </w:instrText>
            </w:r>
            <w:r w:rsidRPr="00BF7D44">
              <w:rPr>
                <w:noProof/>
                <w:webHidden/>
              </w:rPr>
            </w:r>
            <w:r w:rsidRPr="00BF7D44">
              <w:rPr>
                <w:noProof/>
                <w:webHidden/>
              </w:rPr>
              <w:fldChar w:fldCharType="separate"/>
            </w:r>
            <w:r w:rsidR="009F3A94">
              <w:rPr>
                <w:noProof/>
                <w:webHidden/>
              </w:rPr>
              <w:t>2</w:t>
            </w:r>
            <w:r w:rsidRPr="00BF7D44">
              <w:rPr>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295" w:history="1">
            <w:r w:rsidRPr="00BF7D44">
              <w:rPr>
                <w:rStyle w:val="Hiperhivatkozs"/>
                <w:rFonts w:asciiTheme="majorHAnsi" w:hAnsiTheme="majorHAnsi"/>
                <w:noProof/>
              </w:rPr>
              <w:t>Elméleti, szakirodalmi háttér</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_Toc503091295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2</w:t>
            </w:r>
            <w:r w:rsidRPr="00BF7D44">
              <w:rPr>
                <w:rFonts w:asciiTheme="majorHAnsi" w:hAnsiTheme="majorHAnsi"/>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296" w:history="1">
            <w:r w:rsidRPr="00BF7D44">
              <w:rPr>
                <w:rStyle w:val="Hiperhivatkozs"/>
                <w:rFonts w:asciiTheme="majorHAnsi" w:hAnsiTheme="majorHAnsi"/>
                <w:noProof/>
              </w:rPr>
              <w:t>Az elemzésbe vont adatok</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_Toc503091296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3</w:t>
            </w:r>
            <w:r w:rsidRPr="00BF7D44">
              <w:rPr>
                <w:rFonts w:asciiTheme="majorHAnsi" w:hAnsiTheme="majorHAnsi"/>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297" w:history="1">
            <w:r w:rsidRPr="00BF7D44">
              <w:rPr>
                <w:rStyle w:val="Hiperhivatkozs"/>
                <w:rFonts w:asciiTheme="majorHAnsi" w:hAnsiTheme="majorHAnsi"/>
                <w:noProof/>
              </w:rPr>
              <w:t>A COCO-Y0 módszer</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_Toc503091297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5</w:t>
            </w:r>
            <w:r w:rsidRPr="00BF7D44">
              <w:rPr>
                <w:rFonts w:asciiTheme="majorHAnsi" w:hAnsiTheme="majorHAnsi"/>
                <w:noProof/>
                <w:webHidden/>
              </w:rPr>
              <w:fldChar w:fldCharType="end"/>
            </w:r>
          </w:hyperlink>
        </w:p>
        <w:p w:rsidR="00BF7D44" w:rsidRPr="00BF7D44" w:rsidRDefault="00BF7D44" w:rsidP="00BF7D44">
          <w:pPr>
            <w:pStyle w:val="TJ1"/>
            <w:rPr>
              <w:noProof/>
            </w:rPr>
          </w:pPr>
          <w:hyperlink w:anchor="_Toc503091298" w:history="1">
            <w:r w:rsidRPr="00BF7D44">
              <w:rPr>
                <w:rStyle w:val="Hiperhivatkozs"/>
                <w:rFonts w:asciiTheme="majorHAnsi" w:hAnsiTheme="majorHAnsi"/>
                <w:noProof/>
              </w:rPr>
              <w:t>Az elemzés végrehajtása</w:t>
            </w:r>
            <w:r w:rsidRPr="00BF7D44">
              <w:rPr>
                <w:noProof/>
                <w:webHidden/>
              </w:rPr>
              <w:tab/>
            </w:r>
            <w:r w:rsidRPr="00BF7D44">
              <w:rPr>
                <w:noProof/>
                <w:webHidden/>
              </w:rPr>
              <w:fldChar w:fldCharType="begin"/>
            </w:r>
            <w:r w:rsidRPr="00BF7D44">
              <w:rPr>
                <w:noProof/>
                <w:webHidden/>
              </w:rPr>
              <w:instrText xml:space="preserve"> PAGEREF _Toc503091298 \h </w:instrText>
            </w:r>
            <w:r w:rsidRPr="00BF7D44">
              <w:rPr>
                <w:noProof/>
                <w:webHidden/>
              </w:rPr>
            </w:r>
            <w:r w:rsidRPr="00BF7D44">
              <w:rPr>
                <w:noProof/>
                <w:webHidden/>
              </w:rPr>
              <w:fldChar w:fldCharType="separate"/>
            </w:r>
            <w:r w:rsidR="009F3A94">
              <w:rPr>
                <w:noProof/>
                <w:webHidden/>
              </w:rPr>
              <w:t>7</w:t>
            </w:r>
            <w:r w:rsidRPr="00BF7D44">
              <w:rPr>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299" w:history="1">
            <w:r w:rsidRPr="00BF7D44">
              <w:rPr>
                <w:rStyle w:val="Hiperhivatkozs"/>
                <w:rFonts w:asciiTheme="majorHAnsi" w:hAnsiTheme="majorHAnsi"/>
                <w:noProof/>
              </w:rPr>
              <w:t>Az adatok tisztítása</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_Toc503091299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7</w:t>
            </w:r>
            <w:r w:rsidRPr="00BF7D44">
              <w:rPr>
                <w:rFonts w:asciiTheme="majorHAnsi" w:hAnsiTheme="majorHAnsi"/>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300" w:history="1">
            <w:r w:rsidRPr="00BF7D44">
              <w:rPr>
                <w:rStyle w:val="Hiperhivatkozs"/>
                <w:rFonts w:asciiTheme="majorHAnsi" w:hAnsiTheme="majorHAnsi"/>
                <w:noProof/>
              </w:rPr>
              <w:t>COCO-attribútumok képzése</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_Toc503091300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8</w:t>
            </w:r>
            <w:r w:rsidRPr="00BF7D44">
              <w:rPr>
                <w:rFonts w:asciiTheme="majorHAnsi" w:hAnsiTheme="majorHAnsi"/>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301" w:history="1">
            <w:r w:rsidRPr="00BF7D44">
              <w:rPr>
                <w:rStyle w:val="Hiperhivatkozs"/>
                <w:rFonts w:asciiTheme="majorHAnsi" w:hAnsiTheme="majorHAnsi"/>
                <w:noProof/>
              </w:rPr>
              <w:t>A hasonlóságelemzés eredménye</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_Toc503091301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11</w:t>
            </w:r>
            <w:r w:rsidRPr="00BF7D44">
              <w:rPr>
                <w:rFonts w:asciiTheme="majorHAnsi" w:hAnsiTheme="majorHAnsi"/>
                <w:noProof/>
                <w:webHidden/>
              </w:rPr>
              <w:fldChar w:fldCharType="end"/>
            </w:r>
          </w:hyperlink>
        </w:p>
        <w:p w:rsidR="00BF7D44" w:rsidRPr="00BF7D44" w:rsidRDefault="00BF7D44" w:rsidP="00BF7D44">
          <w:pPr>
            <w:pStyle w:val="TJ1"/>
            <w:rPr>
              <w:noProof/>
            </w:rPr>
          </w:pPr>
          <w:hyperlink w:anchor="_Toc503091302" w:history="1">
            <w:r w:rsidRPr="00BF7D44">
              <w:rPr>
                <w:rStyle w:val="Hiperhivatkozs"/>
                <w:rFonts w:asciiTheme="majorHAnsi" w:hAnsiTheme="majorHAnsi"/>
                <w:noProof/>
              </w:rPr>
              <w:t>Következtetések</w:t>
            </w:r>
            <w:r w:rsidRPr="00BF7D44">
              <w:rPr>
                <w:noProof/>
                <w:webHidden/>
              </w:rPr>
              <w:tab/>
            </w:r>
            <w:r w:rsidRPr="00BF7D44">
              <w:rPr>
                <w:noProof/>
                <w:webHidden/>
              </w:rPr>
              <w:fldChar w:fldCharType="begin"/>
            </w:r>
            <w:r w:rsidRPr="00BF7D44">
              <w:rPr>
                <w:noProof/>
                <w:webHidden/>
              </w:rPr>
              <w:instrText xml:space="preserve"> PAGEREF _Toc503091302 \h </w:instrText>
            </w:r>
            <w:r w:rsidRPr="00BF7D44">
              <w:rPr>
                <w:noProof/>
                <w:webHidden/>
              </w:rPr>
            </w:r>
            <w:r w:rsidRPr="00BF7D44">
              <w:rPr>
                <w:noProof/>
                <w:webHidden/>
              </w:rPr>
              <w:fldChar w:fldCharType="separate"/>
            </w:r>
            <w:r w:rsidR="009F3A94">
              <w:rPr>
                <w:noProof/>
                <w:webHidden/>
              </w:rPr>
              <w:t>12</w:t>
            </w:r>
            <w:r w:rsidRPr="00BF7D44">
              <w:rPr>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303" w:history="1">
            <w:r w:rsidRPr="00BF7D44">
              <w:rPr>
                <w:rStyle w:val="Hiperhivatkozs"/>
                <w:rFonts w:asciiTheme="majorHAnsi" w:hAnsiTheme="majorHAnsi"/>
                <w:noProof/>
              </w:rPr>
              <w:t>A kutatás hipotéziseinek ellenőrzése</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_Toc503091303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12</w:t>
            </w:r>
            <w:r w:rsidRPr="00BF7D44">
              <w:rPr>
                <w:rFonts w:asciiTheme="majorHAnsi" w:hAnsiTheme="majorHAnsi"/>
                <w:noProof/>
                <w:webHidden/>
              </w:rPr>
              <w:fldChar w:fldCharType="end"/>
            </w:r>
          </w:hyperlink>
        </w:p>
        <w:p w:rsidR="00BF7D44" w:rsidRPr="00BF7D44" w:rsidRDefault="00BF7D44">
          <w:pPr>
            <w:pStyle w:val="TJ2"/>
            <w:tabs>
              <w:tab w:val="right" w:pos="9062"/>
            </w:tabs>
            <w:rPr>
              <w:rFonts w:asciiTheme="majorHAnsi" w:hAnsiTheme="majorHAnsi"/>
              <w:noProof/>
            </w:rPr>
          </w:pPr>
          <w:hyperlink w:anchor="_Toc503091304" w:history="1">
            <w:r w:rsidRPr="00BF7D44">
              <w:rPr>
                <w:rStyle w:val="Hiperhivatkozs"/>
                <w:rFonts w:asciiTheme="majorHAnsi" w:hAnsiTheme="majorHAnsi"/>
                <w:noProof/>
              </w:rPr>
              <w:t>További kutatási lehetőségek</w:t>
            </w:r>
            <w:r w:rsidRPr="00BF7D44">
              <w:rPr>
                <w:rFonts w:asciiTheme="majorHAnsi" w:hAnsiTheme="majorHAnsi"/>
                <w:noProof/>
                <w:webHidden/>
              </w:rPr>
              <w:tab/>
            </w:r>
            <w:r w:rsidRPr="00BF7D44">
              <w:rPr>
                <w:rFonts w:asciiTheme="majorHAnsi" w:hAnsiTheme="majorHAnsi"/>
                <w:noProof/>
                <w:webHidden/>
              </w:rPr>
              <w:fldChar w:fldCharType="begin"/>
            </w:r>
            <w:r w:rsidRPr="00BF7D44">
              <w:rPr>
                <w:rFonts w:asciiTheme="majorHAnsi" w:hAnsiTheme="majorHAnsi"/>
                <w:noProof/>
                <w:webHidden/>
              </w:rPr>
              <w:instrText xml:space="preserve"> PAGEREF _Toc503091304 \h </w:instrText>
            </w:r>
            <w:r w:rsidRPr="00BF7D44">
              <w:rPr>
                <w:rFonts w:asciiTheme="majorHAnsi" w:hAnsiTheme="majorHAnsi"/>
                <w:noProof/>
                <w:webHidden/>
              </w:rPr>
            </w:r>
            <w:r w:rsidRPr="00BF7D44">
              <w:rPr>
                <w:rFonts w:asciiTheme="majorHAnsi" w:hAnsiTheme="majorHAnsi"/>
                <w:noProof/>
                <w:webHidden/>
              </w:rPr>
              <w:fldChar w:fldCharType="separate"/>
            </w:r>
            <w:r w:rsidR="009F3A94">
              <w:rPr>
                <w:rFonts w:asciiTheme="majorHAnsi" w:hAnsiTheme="majorHAnsi"/>
                <w:noProof/>
                <w:webHidden/>
              </w:rPr>
              <w:t>13</w:t>
            </w:r>
            <w:r w:rsidRPr="00BF7D44">
              <w:rPr>
                <w:rFonts w:asciiTheme="majorHAnsi" w:hAnsiTheme="majorHAnsi"/>
                <w:noProof/>
                <w:webHidden/>
              </w:rPr>
              <w:fldChar w:fldCharType="end"/>
            </w:r>
          </w:hyperlink>
        </w:p>
        <w:p w:rsidR="00BF7D44" w:rsidRPr="00BF7D44" w:rsidRDefault="00BF7D44" w:rsidP="00BF7D44">
          <w:pPr>
            <w:pStyle w:val="TJ1"/>
            <w:rPr>
              <w:noProof/>
            </w:rPr>
          </w:pPr>
          <w:hyperlink w:anchor="_Toc503091305" w:history="1">
            <w:r w:rsidRPr="00BF7D44">
              <w:rPr>
                <w:rStyle w:val="Hiperhivatkozs"/>
                <w:rFonts w:asciiTheme="majorHAnsi" w:hAnsiTheme="majorHAnsi"/>
                <w:noProof/>
              </w:rPr>
              <w:t>Összefoglalás</w:t>
            </w:r>
            <w:r w:rsidRPr="00BF7D44">
              <w:rPr>
                <w:noProof/>
                <w:webHidden/>
              </w:rPr>
              <w:tab/>
            </w:r>
            <w:r w:rsidRPr="00BF7D44">
              <w:rPr>
                <w:noProof/>
                <w:webHidden/>
              </w:rPr>
              <w:fldChar w:fldCharType="begin"/>
            </w:r>
            <w:r w:rsidRPr="00BF7D44">
              <w:rPr>
                <w:noProof/>
                <w:webHidden/>
              </w:rPr>
              <w:instrText xml:space="preserve"> PAGEREF _Toc503091305 \h </w:instrText>
            </w:r>
            <w:r w:rsidRPr="00BF7D44">
              <w:rPr>
                <w:noProof/>
                <w:webHidden/>
              </w:rPr>
            </w:r>
            <w:r w:rsidRPr="00BF7D44">
              <w:rPr>
                <w:noProof/>
                <w:webHidden/>
              </w:rPr>
              <w:fldChar w:fldCharType="separate"/>
            </w:r>
            <w:r w:rsidR="009F3A94">
              <w:rPr>
                <w:noProof/>
                <w:webHidden/>
              </w:rPr>
              <w:t>14</w:t>
            </w:r>
            <w:r w:rsidRPr="00BF7D44">
              <w:rPr>
                <w:noProof/>
                <w:webHidden/>
              </w:rPr>
              <w:fldChar w:fldCharType="end"/>
            </w:r>
          </w:hyperlink>
        </w:p>
        <w:p w:rsidR="00BF7D44" w:rsidRPr="00BF7D44" w:rsidRDefault="00BF7D44" w:rsidP="00BF7D44">
          <w:pPr>
            <w:pStyle w:val="TJ1"/>
            <w:rPr>
              <w:noProof/>
            </w:rPr>
          </w:pPr>
          <w:hyperlink w:anchor="_Toc503091306" w:history="1">
            <w:r w:rsidRPr="00BF7D44">
              <w:rPr>
                <w:rStyle w:val="Hiperhivatkozs"/>
                <w:rFonts w:asciiTheme="majorHAnsi" w:hAnsiTheme="majorHAnsi"/>
                <w:noProof/>
              </w:rPr>
              <w:t>Felhasznált irodalom</w:t>
            </w:r>
            <w:r w:rsidRPr="00BF7D44">
              <w:rPr>
                <w:noProof/>
                <w:webHidden/>
              </w:rPr>
              <w:tab/>
            </w:r>
            <w:r w:rsidRPr="00BF7D44">
              <w:rPr>
                <w:noProof/>
                <w:webHidden/>
              </w:rPr>
              <w:fldChar w:fldCharType="begin"/>
            </w:r>
            <w:r w:rsidRPr="00BF7D44">
              <w:rPr>
                <w:noProof/>
                <w:webHidden/>
              </w:rPr>
              <w:instrText xml:space="preserve"> PAGEREF _Toc503091306 \h </w:instrText>
            </w:r>
            <w:r w:rsidRPr="00BF7D44">
              <w:rPr>
                <w:noProof/>
                <w:webHidden/>
              </w:rPr>
            </w:r>
            <w:r w:rsidRPr="00BF7D44">
              <w:rPr>
                <w:noProof/>
                <w:webHidden/>
              </w:rPr>
              <w:fldChar w:fldCharType="separate"/>
            </w:r>
            <w:r w:rsidR="009F3A94">
              <w:rPr>
                <w:noProof/>
                <w:webHidden/>
              </w:rPr>
              <w:t>15</w:t>
            </w:r>
            <w:r w:rsidRPr="00BF7D44">
              <w:rPr>
                <w:noProof/>
                <w:webHidden/>
              </w:rPr>
              <w:fldChar w:fldCharType="end"/>
            </w:r>
          </w:hyperlink>
        </w:p>
        <w:p w:rsidR="00BF7D44" w:rsidRPr="00BF7D44" w:rsidRDefault="00BF7D44">
          <w:pPr>
            <w:rPr>
              <w:rFonts w:asciiTheme="majorHAnsi" w:hAnsiTheme="majorHAnsi"/>
            </w:rPr>
          </w:pPr>
          <w:r w:rsidRPr="00BF7D44">
            <w:rPr>
              <w:rFonts w:asciiTheme="majorHAnsi" w:hAnsiTheme="majorHAnsi"/>
              <w:b/>
              <w:bCs/>
            </w:rPr>
            <w:fldChar w:fldCharType="end"/>
          </w:r>
        </w:p>
      </w:sdtContent>
    </w:sdt>
    <w:sectPr w:rsidR="00BF7D44" w:rsidRPr="00BF7D44" w:rsidSect="00992758">
      <w:headerReference w:type="default" r:id="rId17"/>
      <w:footerReference w:type="default" r:id="rId18"/>
      <w:headerReference w:type="first" r:id="rId19"/>
      <w:footerReference w:type="first" r:id="rId20"/>
      <w:pgSz w:w="11906" w:h="16838"/>
      <w:pgMar w:top="1417" w:right="1417" w:bottom="143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C7" w:rsidRDefault="00E33DC7" w:rsidP="00430568">
      <w:pPr>
        <w:spacing w:after="0" w:line="240" w:lineRule="auto"/>
      </w:pPr>
      <w:r>
        <w:separator/>
      </w:r>
    </w:p>
  </w:endnote>
  <w:endnote w:type="continuationSeparator" w:id="0">
    <w:p w:rsidR="00E33DC7" w:rsidRDefault="00E33DC7" w:rsidP="0043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B" w:rsidRDefault="0023272B" w:rsidP="000352DD">
    <w:pPr>
      <w:pStyle w:val="llb"/>
      <w:jc w:val="center"/>
    </w:pPr>
    <w:r>
      <w:t>-</w:t>
    </w:r>
    <w:sdt>
      <w:sdtPr>
        <w:rPr>
          <w:vanish/>
          <w:highlight w:val="yellow"/>
        </w:rPr>
        <w:id w:val="1864251729"/>
        <w:docPartObj>
          <w:docPartGallery w:val="Page Numbers (Bottom of Page)"/>
          <w:docPartUnique/>
        </w:docPartObj>
      </w:sdtPr>
      <w:sdtContent>
        <w:r>
          <w:fldChar w:fldCharType="begin"/>
        </w:r>
        <w:r>
          <w:instrText>PAGE   \* MERGEFORMAT</w:instrText>
        </w:r>
        <w:r>
          <w:fldChar w:fldCharType="separate"/>
        </w:r>
        <w:r w:rsidR="009F3A94">
          <w:rPr>
            <w:noProof/>
          </w:rPr>
          <w:t>15</w:t>
        </w:r>
        <w:r>
          <w:rPr>
            <w:noProof/>
          </w:rP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694730078"/>
      <w:docPartObj>
        <w:docPartGallery w:val="Page Numbers (Bottom of Page)"/>
        <w:docPartUnique/>
      </w:docPartObj>
    </w:sdtPr>
    <w:sdtContent>
      <w:p w:rsidR="0023272B" w:rsidRDefault="0023272B" w:rsidP="00F5356F">
        <w:pPr>
          <w:pStyle w:val="llb"/>
          <w:jc w:val="center"/>
        </w:pPr>
        <w:r>
          <w:t>-</w:t>
        </w:r>
        <w:r>
          <w:fldChar w:fldCharType="begin"/>
        </w:r>
        <w:r>
          <w:instrText>PAGE   \* MERGEFORMAT</w:instrText>
        </w:r>
        <w:r>
          <w:fldChar w:fldCharType="separate"/>
        </w:r>
        <w:r w:rsidR="009F3A94">
          <w:rPr>
            <w:noProof/>
          </w:rPr>
          <w:t>1</w:t>
        </w:r>
        <w: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C7" w:rsidRDefault="00E33DC7" w:rsidP="00430568">
      <w:pPr>
        <w:spacing w:after="0" w:line="240" w:lineRule="auto"/>
      </w:pPr>
      <w:r>
        <w:separator/>
      </w:r>
    </w:p>
  </w:footnote>
  <w:footnote w:type="continuationSeparator" w:id="0">
    <w:p w:rsidR="00E33DC7" w:rsidRDefault="00E33DC7" w:rsidP="00430568">
      <w:pPr>
        <w:spacing w:after="0" w:line="240" w:lineRule="auto"/>
      </w:pPr>
      <w:r>
        <w:continuationSeparator/>
      </w:r>
    </w:p>
  </w:footnote>
  <w:footnote w:id="1">
    <w:p w:rsidR="0023272B" w:rsidRPr="009828C3" w:rsidRDefault="0023272B" w:rsidP="00D4750F">
      <w:pPr>
        <w:pStyle w:val="Lbjegyzetszveg"/>
        <w:jc w:val="both"/>
        <w:rPr>
          <w:rFonts w:asciiTheme="majorHAnsi" w:hAnsiTheme="majorHAnsi"/>
        </w:rPr>
      </w:pPr>
      <w:r>
        <w:rPr>
          <w:rStyle w:val="Lbjegyzet-hivatkozs"/>
        </w:rPr>
        <w:footnoteRef/>
      </w:r>
      <w:r>
        <w:t xml:space="preserve"> </w:t>
      </w:r>
      <w:r w:rsidRPr="009828C3">
        <w:rPr>
          <w:rFonts w:asciiTheme="majorHAnsi" w:hAnsiTheme="majorHAnsi"/>
        </w:rPr>
        <w:t xml:space="preserve">Az elemző eszköz online hozzáférhető a következő linken: </w:t>
      </w:r>
      <w:hyperlink r:id="rId1" w:history="1">
        <w:r w:rsidRPr="009828C3">
          <w:rPr>
            <w:rStyle w:val="Hiperhivatkozs"/>
            <w:rFonts w:asciiTheme="majorHAnsi" w:hAnsiTheme="majorHAnsi"/>
          </w:rPr>
          <w:t>http://miau.gau.hu/myx-free/coco/</w:t>
        </w:r>
      </w:hyperlink>
    </w:p>
    <w:p w:rsidR="0023272B" w:rsidRPr="009828C3" w:rsidRDefault="0023272B" w:rsidP="00D4750F">
      <w:pPr>
        <w:pStyle w:val="Lbjegyzetszveg"/>
        <w:jc w:val="both"/>
        <w:rPr>
          <w:rFonts w:asciiTheme="majorHAnsi" w:hAnsiTheme="majorHAnsi"/>
        </w:rPr>
      </w:pPr>
      <w:r w:rsidRPr="009828C3">
        <w:rPr>
          <w:rFonts w:asciiTheme="majorHAnsi" w:hAnsiTheme="majorHAnsi"/>
        </w:rPr>
        <w:t xml:space="preserve">További információ a </w:t>
      </w:r>
      <w:proofErr w:type="spellStart"/>
      <w:r w:rsidRPr="009828C3">
        <w:rPr>
          <w:rFonts w:asciiTheme="majorHAnsi" w:hAnsiTheme="majorHAnsi"/>
        </w:rPr>
        <w:t>COCO-módszertanról</w:t>
      </w:r>
      <w:proofErr w:type="spellEnd"/>
      <w:r w:rsidRPr="009828C3">
        <w:rPr>
          <w:rFonts w:asciiTheme="majorHAnsi" w:hAnsiTheme="majorHAnsi"/>
        </w:rPr>
        <w:t xml:space="preserve"> </w:t>
      </w:r>
      <w:hyperlink r:id="rId2" w:history="1">
        <w:r w:rsidRPr="009828C3">
          <w:rPr>
            <w:rStyle w:val="Hiperhivatkozs"/>
            <w:rFonts w:asciiTheme="majorHAnsi" w:hAnsiTheme="majorHAnsi"/>
          </w:rPr>
          <w:t>ebben a dokumentumban</w:t>
        </w:r>
      </w:hyperlink>
      <w:r w:rsidRPr="009828C3">
        <w:rPr>
          <w:rFonts w:asciiTheme="majorHAnsi" w:hAnsiTheme="majorHAnsi"/>
        </w:rPr>
        <w:t xml:space="preserve"> olvasható</w:t>
      </w:r>
    </w:p>
  </w:footnote>
  <w:footnote w:id="2">
    <w:p w:rsidR="0023272B" w:rsidRPr="00E72216" w:rsidRDefault="0023272B" w:rsidP="00E72216">
      <w:pPr>
        <w:pStyle w:val="Lbjegyzetszveg"/>
        <w:jc w:val="both"/>
        <w:rPr>
          <w:rFonts w:asciiTheme="majorHAnsi" w:hAnsiTheme="majorHAnsi"/>
        </w:rPr>
      </w:pPr>
      <w:r w:rsidRPr="00E72216">
        <w:rPr>
          <w:rStyle w:val="Lbjegyzet-hivatkozs"/>
          <w:rFonts w:asciiTheme="majorHAnsi" w:hAnsiTheme="majorHAnsi"/>
        </w:rPr>
        <w:footnoteRef/>
      </w:r>
      <w:r w:rsidRPr="00E72216">
        <w:rPr>
          <w:rFonts w:asciiTheme="majorHAnsi" w:hAnsiTheme="majorHAnsi"/>
        </w:rPr>
        <w:t xml:space="preserve"> Amennyiben ugyanis valamely objektum az első rangsort, a „szépségversenyt” megnyerte, úgy magától értetődő elvárás, hogy a fordított szempontok szerinti rangsorolást, a „csúnyaságversenyt” el kell veszítenie egy konzisztens modellben.</w:t>
      </w:r>
    </w:p>
  </w:footnote>
  <w:footnote w:id="3">
    <w:p w:rsidR="0023272B" w:rsidRPr="0091475A" w:rsidRDefault="0023272B" w:rsidP="0091475A">
      <w:pPr>
        <w:pStyle w:val="Lbjegyzetszveg"/>
        <w:jc w:val="both"/>
        <w:rPr>
          <w:rFonts w:asciiTheme="majorHAnsi" w:hAnsiTheme="majorHAnsi"/>
        </w:rPr>
      </w:pPr>
      <w:r w:rsidRPr="0091475A">
        <w:rPr>
          <w:rStyle w:val="Lbjegyzet-hivatkozs"/>
          <w:rFonts w:asciiTheme="majorHAnsi" w:hAnsiTheme="majorHAnsi"/>
        </w:rPr>
        <w:footnoteRef/>
      </w:r>
      <w:r w:rsidRPr="0091475A">
        <w:rPr>
          <w:rFonts w:asciiTheme="majorHAnsi" w:hAnsiTheme="majorHAnsi"/>
        </w:rPr>
        <w:t xml:space="preserve"> </w:t>
      </w:r>
      <w:proofErr w:type="gramStart"/>
      <w:r w:rsidRPr="0091475A">
        <w:rPr>
          <w:rFonts w:asciiTheme="majorHAnsi" w:hAnsiTheme="majorHAnsi"/>
        </w:rPr>
        <w:t>normál</w:t>
      </w:r>
      <w:proofErr w:type="gramEnd"/>
      <w:r w:rsidRPr="0091475A">
        <w:rPr>
          <w:rFonts w:asciiTheme="majorHAnsi" w:hAnsiTheme="majorHAnsi"/>
        </w:rPr>
        <w:t>, haladó, intenzív</w:t>
      </w:r>
    </w:p>
  </w:footnote>
  <w:footnote w:id="4">
    <w:p w:rsidR="0023272B" w:rsidRPr="006F626E" w:rsidRDefault="0023272B">
      <w:pPr>
        <w:pStyle w:val="Lbjegyzetszveg"/>
        <w:rPr>
          <w:rFonts w:asciiTheme="majorHAnsi" w:hAnsiTheme="majorHAnsi"/>
        </w:rPr>
      </w:pPr>
      <w:r w:rsidRPr="006F626E">
        <w:rPr>
          <w:rStyle w:val="Lbjegyzet-hivatkozs"/>
          <w:rFonts w:asciiTheme="majorHAnsi" w:hAnsiTheme="majorHAnsi"/>
        </w:rPr>
        <w:footnoteRef/>
      </w:r>
      <w:r w:rsidRPr="006F626E">
        <w:rPr>
          <w:rFonts w:asciiTheme="majorHAnsi" w:hAnsiTheme="majorHAnsi"/>
        </w:rPr>
        <w:t xml:space="preserve"> Az eredeti OAM a kapcsolódó munkafüzet azonos nevű munkalapján érhető el.</w:t>
      </w:r>
    </w:p>
  </w:footnote>
  <w:footnote w:id="5">
    <w:p w:rsidR="0023272B" w:rsidRPr="006F626E" w:rsidRDefault="0023272B">
      <w:pPr>
        <w:pStyle w:val="Lbjegyzetszveg"/>
        <w:rPr>
          <w:rFonts w:asciiTheme="majorHAnsi" w:hAnsiTheme="majorHAnsi"/>
        </w:rPr>
      </w:pPr>
      <w:r w:rsidRPr="006F626E">
        <w:rPr>
          <w:rStyle w:val="Lbjegyzet-hivatkozs"/>
          <w:rFonts w:asciiTheme="majorHAnsi" w:hAnsiTheme="majorHAnsi"/>
        </w:rPr>
        <w:footnoteRef/>
      </w:r>
      <w:r w:rsidRPr="006F626E">
        <w:rPr>
          <w:rFonts w:asciiTheme="majorHAnsi" w:hAnsiTheme="majorHAnsi"/>
        </w:rPr>
        <w:t xml:space="preserve"> A munkafüzetben a „</w:t>
      </w:r>
      <w:proofErr w:type="spellStart"/>
      <w:r w:rsidRPr="006F626E">
        <w:rPr>
          <w:rFonts w:asciiTheme="majorHAnsi" w:hAnsiTheme="majorHAnsi"/>
        </w:rPr>
        <w:t>rank</w:t>
      </w:r>
      <w:proofErr w:type="spellEnd"/>
      <w:r w:rsidRPr="006F626E">
        <w:rPr>
          <w:rFonts w:asciiTheme="majorHAnsi" w:hAnsiTheme="majorHAnsi"/>
        </w:rPr>
        <w:t>” munkalap 144. sorától kezdődően.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B" w:rsidRPr="0009443B" w:rsidRDefault="0023272B" w:rsidP="005D6E88">
    <w:pPr>
      <w:pStyle w:val="lfej"/>
      <w:rPr>
        <w:rFonts w:asciiTheme="majorHAnsi" w:hAnsiTheme="majorHAnsi"/>
        <w:b/>
        <w:smallCaps/>
      </w:rPr>
    </w:pPr>
    <w:r w:rsidRPr="00F60246">
      <w:rPr>
        <w:rFonts w:asciiTheme="majorHAnsi" w:hAnsiTheme="majorHAnsi" w:cstheme="minorHAnsi"/>
        <w:b/>
        <w:caps/>
      </w:rPr>
      <w:t xml:space="preserve">Matematikaérettségi – vizsgamodellek </w:t>
    </w:r>
    <w:proofErr w:type="gramStart"/>
    <w:r w:rsidRPr="00F60246">
      <w:rPr>
        <w:rFonts w:asciiTheme="majorHAnsi" w:hAnsiTheme="majorHAnsi" w:cstheme="minorHAnsi"/>
        <w:b/>
        <w:caps/>
      </w:rPr>
      <w:t>és</w:t>
    </w:r>
    <w:proofErr w:type="gramEnd"/>
    <w:r w:rsidRPr="00F60246">
      <w:rPr>
        <w:rFonts w:asciiTheme="majorHAnsi" w:hAnsiTheme="majorHAnsi" w:cstheme="minorHAnsi"/>
        <w:b/>
        <w:caps/>
      </w:rPr>
      <w:t xml:space="preserve"> vizsgák</w:t>
    </w:r>
    <w:r w:rsidRPr="002E1884">
      <w:rPr>
        <w:rFonts w:asciiTheme="majorHAnsi" w:hAnsiTheme="majorHAnsi"/>
        <w:smallCaps/>
      </w:rPr>
      <w:tab/>
    </w:r>
    <w:r w:rsidRPr="0009443B">
      <w:rPr>
        <w:rFonts w:asciiTheme="majorHAnsi" w:hAnsiTheme="majorHAnsi" w:cstheme="minorHAnsi"/>
        <w:b/>
        <w:smallCaps/>
      </w:rPr>
      <w:t>Pitlik</w:t>
    </w:r>
    <w:r w:rsidRPr="0009443B">
      <w:rPr>
        <w:rFonts w:asciiTheme="majorHAnsi" w:hAnsiTheme="majorHAnsi"/>
        <w:b/>
        <w:smallCaps/>
      </w:rPr>
      <w:t xml:space="preserve"> László</w:t>
    </w:r>
  </w:p>
  <w:p w:rsidR="0023272B" w:rsidRPr="002E1884" w:rsidRDefault="0023272B" w:rsidP="005D6E88">
    <w:pPr>
      <w:pStyle w:val="lfej"/>
      <w:rPr>
        <w:rFonts w:asciiTheme="majorHAnsi" w:hAnsiTheme="majorHAnsi" w:cstheme="minorHAnsi"/>
      </w:rPr>
    </w:pPr>
    <w:r w:rsidRPr="00F60246">
      <w:rPr>
        <w:rFonts w:asciiTheme="majorHAnsi" w:hAnsiTheme="majorHAnsi" w:cstheme="minorHAnsi"/>
      </w:rPr>
      <w:t>mm5t9er5</w:t>
    </w:r>
    <w:r w:rsidRPr="002E1884">
      <w:rPr>
        <w:rFonts w:asciiTheme="majorHAnsi" w:hAnsiTheme="majorHAnsi" w:cstheme="minorHAnsi"/>
      </w:rPr>
      <w:tab/>
    </w:r>
    <w:r w:rsidRPr="002E1884">
      <w:rPr>
        <w:rFonts w:asciiTheme="majorHAnsi" w:hAnsiTheme="majorHAnsi" w:cstheme="minorHAnsi"/>
      </w:rPr>
      <w:tab/>
      <w:t>PM8FWD</w:t>
    </w:r>
  </w:p>
  <w:p w:rsidR="0023272B" w:rsidRPr="008D667D" w:rsidRDefault="0023272B" w:rsidP="005D6E88">
    <w:pPr>
      <w:pStyle w:val="lfej"/>
      <w:pBdr>
        <w:bottom w:val="single" w:sz="4" w:space="1" w:color="auto"/>
      </w:pBdr>
      <w:spacing w:after="240"/>
      <w:rPr>
        <w:rFonts w:asciiTheme="majorHAnsi" w:hAnsiTheme="majorHAnsi" w:cstheme="minorHAnsi"/>
      </w:rPr>
    </w:pPr>
    <w:r w:rsidRPr="0009443B">
      <w:rPr>
        <w:rFonts w:asciiTheme="majorHAnsi" w:hAnsiTheme="majorHAnsi" w:cstheme="minorHAnsi"/>
      </w:rPr>
      <w:t xml:space="preserve">Tanár: </w:t>
    </w:r>
    <w:r>
      <w:rPr>
        <w:rFonts w:asciiTheme="majorHAnsi" w:hAnsiTheme="majorHAnsi" w:cstheme="minorHAnsi"/>
      </w:rPr>
      <w:t>Csapodi Csaba</w:t>
    </w:r>
    <w:r w:rsidRPr="0009443B">
      <w:rPr>
        <w:rFonts w:asciiTheme="majorHAnsi" w:hAnsiTheme="majorHAnsi" w:cstheme="minorHAnsi"/>
      </w:rPr>
      <w:tab/>
    </w:r>
    <w:r w:rsidRPr="0009443B">
      <w:rPr>
        <w:rFonts w:asciiTheme="majorHAnsi" w:hAnsiTheme="majorHAnsi" w:cstheme="minorHAnsi"/>
      </w:rPr>
      <w:tab/>
      <w:t>201</w:t>
    </w:r>
    <w:r>
      <w:rPr>
        <w:rFonts w:asciiTheme="majorHAnsi" w:hAnsiTheme="majorHAnsi" w:cstheme="minorHAnsi"/>
      </w:rPr>
      <w:t>7-18</w:t>
    </w:r>
    <w:r w:rsidRPr="0009443B">
      <w:rPr>
        <w:rFonts w:asciiTheme="majorHAnsi" w:hAnsiTheme="majorHAnsi" w:cstheme="minorHAnsi"/>
      </w:rPr>
      <w:t>-</w:t>
    </w:r>
    <w:r>
      <w:rPr>
        <w:rFonts w:asciiTheme="majorHAnsi" w:hAnsiTheme="majorHAnsi" w:cstheme="minorHAnsi"/>
      </w:rPr>
      <w:t>1</w:t>
    </w:r>
    <w:r w:rsidRPr="0009443B">
      <w:rPr>
        <w:rFonts w:asciiTheme="majorHAnsi" w:hAnsiTheme="majorHAnsi" w:cstheme="minorHAnsi"/>
      </w:rPr>
      <w:t xml:space="preserve"> (</w:t>
    </w:r>
    <w:r>
      <w:rPr>
        <w:rFonts w:asciiTheme="majorHAnsi" w:hAnsiTheme="majorHAnsi" w:cstheme="minorHAnsi"/>
      </w:rPr>
      <w:t>őszi</w:t>
    </w:r>
    <w:r w:rsidRPr="0009443B">
      <w:rPr>
        <w:rFonts w:asciiTheme="majorHAnsi" w:hAnsiTheme="majorHAnsi" w:cstheme="minorHAnsi"/>
      </w:rPr>
      <w:t xml:space="preserve"> félév)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72B" w:rsidRPr="0009443B" w:rsidRDefault="0023272B" w:rsidP="005A35F1">
    <w:pPr>
      <w:pStyle w:val="lfej"/>
      <w:rPr>
        <w:rFonts w:asciiTheme="majorHAnsi" w:hAnsiTheme="majorHAnsi"/>
        <w:b/>
        <w:smallCaps/>
      </w:rPr>
    </w:pPr>
    <w:r w:rsidRPr="00F60246">
      <w:rPr>
        <w:rFonts w:asciiTheme="majorHAnsi" w:hAnsiTheme="majorHAnsi" w:cstheme="minorHAnsi"/>
        <w:b/>
        <w:caps/>
      </w:rPr>
      <w:t xml:space="preserve">Matematikaérettségi – vizsgamodellek </w:t>
    </w:r>
    <w:proofErr w:type="gramStart"/>
    <w:r w:rsidRPr="00F60246">
      <w:rPr>
        <w:rFonts w:asciiTheme="majorHAnsi" w:hAnsiTheme="majorHAnsi" w:cstheme="minorHAnsi"/>
        <w:b/>
        <w:caps/>
      </w:rPr>
      <w:t>és</w:t>
    </w:r>
    <w:proofErr w:type="gramEnd"/>
    <w:r w:rsidRPr="00F60246">
      <w:rPr>
        <w:rFonts w:asciiTheme="majorHAnsi" w:hAnsiTheme="majorHAnsi" w:cstheme="minorHAnsi"/>
        <w:b/>
        <w:caps/>
      </w:rPr>
      <w:t xml:space="preserve"> vizsgák</w:t>
    </w:r>
    <w:r w:rsidRPr="002E1884">
      <w:rPr>
        <w:rFonts w:asciiTheme="majorHAnsi" w:hAnsiTheme="majorHAnsi"/>
        <w:smallCaps/>
      </w:rPr>
      <w:tab/>
    </w:r>
    <w:r w:rsidRPr="0009443B">
      <w:rPr>
        <w:rFonts w:asciiTheme="majorHAnsi" w:hAnsiTheme="majorHAnsi" w:cstheme="minorHAnsi"/>
        <w:b/>
        <w:smallCaps/>
      </w:rPr>
      <w:t>Pitlik</w:t>
    </w:r>
    <w:r w:rsidRPr="0009443B">
      <w:rPr>
        <w:rFonts w:asciiTheme="majorHAnsi" w:hAnsiTheme="majorHAnsi"/>
        <w:b/>
        <w:smallCaps/>
      </w:rPr>
      <w:t xml:space="preserve"> László</w:t>
    </w:r>
  </w:p>
  <w:p w:rsidR="0023272B" w:rsidRPr="002E1884" w:rsidRDefault="0023272B" w:rsidP="005A35F1">
    <w:pPr>
      <w:pStyle w:val="lfej"/>
      <w:rPr>
        <w:rFonts w:asciiTheme="majorHAnsi" w:hAnsiTheme="majorHAnsi" w:cstheme="minorHAnsi"/>
      </w:rPr>
    </w:pPr>
    <w:r w:rsidRPr="00F60246">
      <w:rPr>
        <w:rFonts w:asciiTheme="majorHAnsi" w:hAnsiTheme="majorHAnsi" w:cstheme="minorHAnsi"/>
      </w:rPr>
      <w:t>mm5t9er5</w:t>
    </w:r>
    <w:r w:rsidRPr="002E1884">
      <w:rPr>
        <w:rFonts w:asciiTheme="majorHAnsi" w:hAnsiTheme="majorHAnsi" w:cstheme="minorHAnsi"/>
      </w:rPr>
      <w:tab/>
    </w:r>
    <w:r w:rsidRPr="002E1884">
      <w:rPr>
        <w:rFonts w:asciiTheme="majorHAnsi" w:hAnsiTheme="majorHAnsi" w:cstheme="minorHAnsi"/>
      </w:rPr>
      <w:tab/>
      <w:t>PM8FWD</w:t>
    </w:r>
  </w:p>
  <w:p w:rsidR="0023272B" w:rsidRDefault="0023272B" w:rsidP="005A35F1">
    <w:pPr>
      <w:pStyle w:val="lfej"/>
    </w:pPr>
    <w:r w:rsidRPr="0009443B">
      <w:rPr>
        <w:rFonts w:asciiTheme="majorHAnsi" w:hAnsiTheme="majorHAnsi" w:cstheme="minorHAnsi"/>
      </w:rPr>
      <w:t xml:space="preserve">Tanár: </w:t>
    </w:r>
    <w:r>
      <w:rPr>
        <w:rFonts w:asciiTheme="majorHAnsi" w:hAnsiTheme="majorHAnsi" w:cstheme="minorHAnsi"/>
      </w:rPr>
      <w:t>Csapodi Csaba</w:t>
    </w:r>
    <w:r w:rsidRPr="0009443B">
      <w:rPr>
        <w:rFonts w:asciiTheme="majorHAnsi" w:hAnsiTheme="majorHAnsi" w:cstheme="minorHAnsi"/>
      </w:rPr>
      <w:tab/>
    </w:r>
    <w:r w:rsidRPr="0009443B">
      <w:rPr>
        <w:rFonts w:asciiTheme="majorHAnsi" w:hAnsiTheme="majorHAnsi" w:cstheme="minorHAnsi"/>
      </w:rPr>
      <w:tab/>
      <w:t>201</w:t>
    </w:r>
    <w:r>
      <w:rPr>
        <w:rFonts w:asciiTheme="majorHAnsi" w:hAnsiTheme="majorHAnsi" w:cstheme="minorHAnsi"/>
      </w:rPr>
      <w:t>7-18</w:t>
    </w:r>
    <w:r w:rsidRPr="0009443B">
      <w:rPr>
        <w:rFonts w:asciiTheme="majorHAnsi" w:hAnsiTheme="majorHAnsi" w:cstheme="minorHAnsi"/>
      </w:rPr>
      <w:t>-</w:t>
    </w:r>
    <w:r>
      <w:rPr>
        <w:rFonts w:asciiTheme="majorHAnsi" w:hAnsiTheme="majorHAnsi" w:cstheme="minorHAnsi"/>
      </w:rPr>
      <w:t>1</w:t>
    </w:r>
    <w:r w:rsidRPr="0009443B">
      <w:rPr>
        <w:rFonts w:asciiTheme="majorHAnsi" w:hAnsiTheme="majorHAnsi" w:cstheme="minorHAnsi"/>
      </w:rPr>
      <w:t xml:space="preserve"> (</w:t>
    </w:r>
    <w:r>
      <w:rPr>
        <w:rFonts w:asciiTheme="majorHAnsi" w:hAnsiTheme="majorHAnsi" w:cstheme="minorHAnsi"/>
      </w:rPr>
      <w:t>őszi</w:t>
    </w:r>
    <w:r w:rsidRPr="0009443B">
      <w:rPr>
        <w:rFonts w:asciiTheme="majorHAnsi" w:hAnsiTheme="majorHAnsi" w:cstheme="minorHAnsi"/>
      </w:rPr>
      <w:t xml:space="preserve"> félév)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65C8"/>
    <w:multiLevelType w:val="hybridMultilevel"/>
    <w:tmpl w:val="E4843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F3431C"/>
    <w:multiLevelType w:val="hybridMultilevel"/>
    <w:tmpl w:val="B9907F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0568"/>
    <w:rsid w:val="00012A1F"/>
    <w:rsid w:val="000242EE"/>
    <w:rsid w:val="00025A38"/>
    <w:rsid w:val="0003126D"/>
    <w:rsid w:val="000352DD"/>
    <w:rsid w:val="0004022A"/>
    <w:rsid w:val="0005630A"/>
    <w:rsid w:val="0006118D"/>
    <w:rsid w:val="0006427D"/>
    <w:rsid w:val="00077FFA"/>
    <w:rsid w:val="00091BD0"/>
    <w:rsid w:val="00094A09"/>
    <w:rsid w:val="00097EAB"/>
    <w:rsid w:val="000A45E0"/>
    <w:rsid w:val="000B221A"/>
    <w:rsid w:val="000B5619"/>
    <w:rsid w:val="000C1E61"/>
    <w:rsid w:val="000C3AA4"/>
    <w:rsid w:val="000D764C"/>
    <w:rsid w:val="000E1DB8"/>
    <w:rsid w:val="000E404A"/>
    <w:rsid w:val="000E40A9"/>
    <w:rsid w:val="000E7F94"/>
    <w:rsid w:val="000F09AD"/>
    <w:rsid w:val="001024D7"/>
    <w:rsid w:val="0010768E"/>
    <w:rsid w:val="0010769E"/>
    <w:rsid w:val="00111F9C"/>
    <w:rsid w:val="001154C8"/>
    <w:rsid w:val="00116725"/>
    <w:rsid w:val="001229E3"/>
    <w:rsid w:val="00122A49"/>
    <w:rsid w:val="0012605B"/>
    <w:rsid w:val="00133C61"/>
    <w:rsid w:val="00134C6E"/>
    <w:rsid w:val="00134EDE"/>
    <w:rsid w:val="0013589B"/>
    <w:rsid w:val="001366D7"/>
    <w:rsid w:val="00136E70"/>
    <w:rsid w:val="00136EE0"/>
    <w:rsid w:val="00143065"/>
    <w:rsid w:val="0014363A"/>
    <w:rsid w:val="00144E19"/>
    <w:rsid w:val="00150569"/>
    <w:rsid w:val="001601D7"/>
    <w:rsid w:val="00161D4B"/>
    <w:rsid w:val="0016750F"/>
    <w:rsid w:val="00183312"/>
    <w:rsid w:val="00186379"/>
    <w:rsid w:val="001976E8"/>
    <w:rsid w:val="001B2DE3"/>
    <w:rsid w:val="001B668D"/>
    <w:rsid w:val="001D0504"/>
    <w:rsid w:val="001D154F"/>
    <w:rsid w:val="002057D9"/>
    <w:rsid w:val="002228E3"/>
    <w:rsid w:val="00227109"/>
    <w:rsid w:val="0023272B"/>
    <w:rsid w:val="002442F6"/>
    <w:rsid w:val="00246926"/>
    <w:rsid w:val="00253118"/>
    <w:rsid w:val="00255CF7"/>
    <w:rsid w:val="00272033"/>
    <w:rsid w:val="002723F9"/>
    <w:rsid w:val="002818EC"/>
    <w:rsid w:val="00285DC7"/>
    <w:rsid w:val="00286AFE"/>
    <w:rsid w:val="00286DC9"/>
    <w:rsid w:val="00287BBD"/>
    <w:rsid w:val="00290F4D"/>
    <w:rsid w:val="00293259"/>
    <w:rsid w:val="002A7C58"/>
    <w:rsid w:val="002B2A49"/>
    <w:rsid w:val="002C0DF4"/>
    <w:rsid w:val="002C729A"/>
    <w:rsid w:val="002D2B65"/>
    <w:rsid w:val="002D3B6B"/>
    <w:rsid w:val="002E0307"/>
    <w:rsid w:val="002E2436"/>
    <w:rsid w:val="002E6206"/>
    <w:rsid w:val="002F2FA7"/>
    <w:rsid w:val="00300F7B"/>
    <w:rsid w:val="003024FF"/>
    <w:rsid w:val="00304155"/>
    <w:rsid w:val="003120AB"/>
    <w:rsid w:val="00315D1C"/>
    <w:rsid w:val="00322587"/>
    <w:rsid w:val="003363A8"/>
    <w:rsid w:val="003409B7"/>
    <w:rsid w:val="003444C7"/>
    <w:rsid w:val="003451AE"/>
    <w:rsid w:val="00345FE9"/>
    <w:rsid w:val="003467DC"/>
    <w:rsid w:val="00350AE2"/>
    <w:rsid w:val="00355F4F"/>
    <w:rsid w:val="00372F31"/>
    <w:rsid w:val="00372F34"/>
    <w:rsid w:val="00384441"/>
    <w:rsid w:val="00386444"/>
    <w:rsid w:val="003918C8"/>
    <w:rsid w:val="003A2B23"/>
    <w:rsid w:val="003A4F27"/>
    <w:rsid w:val="003A563E"/>
    <w:rsid w:val="003A6F1D"/>
    <w:rsid w:val="003B36CF"/>
    <w:rsid w:val="003C252B"/>
    <w:rsid w:val="003C7B5B"/>
    <w:rsid w:val="003D2F36"/>
    <w:rsid w:val="003E59DC"/>
    <w:rsid w:val="003E5AF6"/>
    <w:rsid w:val="003E5AFB"/>
    <w:rsid w:val="003F3495"/>
    <w:rsid w:val="003F513D"/>
    <w:rsid w:val="003F6F9E"/>
    <w:rsid w:val="003F783A"/>
    <w:rsid w:val="003F7BAA"/>
    <w:rsid w:val="003F7DAA"/>
    <w:rsid w:val="00402DE9"/>
    <w:rsid w:val="00405C31"/>
    <w:rsid w:val="0040613A"/>
    <w:rsid w:val="00406866"/>
    <w:rsid w:val="0041446D"/>
    <w:rsid w:val="00430568"/>
    <w:rsid w:val="0043315B"/>
    <w:rsid w:val="00433A71"/>
    <w:rsid w:val="00434FEB"/>
    <w:rsid w:val="00435DFF"/>
    <w:rsid w:val="00437D53"/>
    <w:rsid w:val="0044124E"/>
    <w:rsid w:val="00442FB4"/>
    <w:rsid w:val="004435D8"/>
    <w:rsid w:val="004441CD"/>
    <w:rsid w:val="00445333"/>
    <w:rsid w:val="004457DC"/>
    <w:rsid w:val="00452377"/>
    <w:rsid w:val="00453234"/>
    <w:rsid w:val="00460161"/>
    <w:rsid w:val="0047002D"/>
    <w:rsid w:val="00470EF5"/>
    <w:rsid w:val="0048115A"/>
    <w:rsid w:val="004902D7"/>
    <w:rsid w:val="0049766C"/>
    <w:rsid w:val="004A75AD"/>
    <w:rsid w:val="004C4524"/>
    <w:rsid w:val="004C49BB"/>
    <w:rsid w:val="004D2ECF"/>
    <w:rsid w:val="004D4475"/>
    <w:rsid w:val="004E1030"/>
    <w:rsid w:val="004F17C2"/>
    <w:rsid w:val="004F2790"/>
    <w:rsid w:val="004F5753"/>
    <w:rsid w:val="00500269"/>
    <w:rsid w:val="005060FD"/>
    <w:rsid w:val="0050766C"/>
    <w:rsid w:val="0050776F"/>
    <w:rsid w:val="00514544"/>
    <w:rsid w:val="00515A23"/>
    <w:rsid w:val="00517F64"/>
    <w:rsid w:val="00523BA0"/>
    <w:rsid w:val="00523E7F"/>
    <w:rsid w:val="00524928"/>
    <w:rsid w:val="005277E7"/>
    <w:rsid w:val="00533AFF"/>
    <w:rsid w:val="00534530"/>
    <w:rsid w:val="005476BE"/>
    <w:rsid w:val="00552F68"/>
    <w:rsid w:val="005568D6"/>
    <w:rsid w:val="00584E4F"/>
    <w:rsid w:val="00593ACB"/>
    <w:rsid w:val="005A2E2C"/>
    <w:rsid w:val="005A35F1"/>
    <w:rsid w:val="005B2768"/>
    <w:rsid w:val="005B4844"/>
    <w:rsid w:val="005B55D6"/>
    <w:rsid w:val="005C5EF2"/>
    <w:rsid w:val="005D3DD5"/>
    <w:rsid w:val="005D6E88"/>
    <w:rsid w:val="005E385A"/>
    <w:rsid w:val="005E41D2"/>
    <w:rsid w:val="005F47F9"/>
    <w:rsid w:val="005F6958"/>
    <w:rsid w:val="00602FEB"/>
    <w:rsid w:val="00621C0E"/>
    <w:rsid w:val="006258C8"/>
    <w:rsid w:val="00635EF6"/>
    <w:rsid w:val="00640177"/>
    <w:rsid w:val="00643F12"/>
    <w:rsid w:val="00645442"/>
    <w:rsid w:val="0064715A"/>
    <w:rsid w:val="006535F5"/>
    <w:rsid w:val="00677CDD"/>
    <w:rsid w:val="0069100D"/>
    <w:rsid w:val="00691FE1"/>
    <w:rsid w:val="006931C2"/>
    <w:rsid w:val="006B3F16"/>
    <w:rsid w:val="006C087B"/>
    <w:rsid w:val="006C1FB5"/>
    <w:rsid w:val="006C3FA9"/>
    <w:rsid w:val="006D077D"/>
    <w:rsid w:val="006D7B1C"/>
    <w:rsid w:val="006D7D99"/>
    <w:rsid w:val="006E077E"/>
    <w:rsid w:val="006E0FF6"/>
    <w:rsid w:val="006E2D7B"/>
    <w:rsid w:val="006E4838"/>
    <w:rsid w:val="006E5167"/>
    <w:rsid w:val="006F626E"/>
    <w:rsid w:val="0070229D"/>
    <w:rsid w:val="007079AD"/>
    <w:rsid w:val="00711023"/>
    <w:rsid w:val="007176F1"/>
    <w:rsid w:val="00720CAF"/>
    <w:rsid w:val="00723352"/>
    <w:rsid w:val="007309AC"/>
    <w:rsid w:val="007425A2"/>
    <w:rsid w:val="007478C9"/>
    <w:rsid w:val="007538E8"/>
    <w:rsid w:val="00755951"/>
    <w:rsid w:val="0075687C"/>
    <w:rsid w:val="00765F65"/>
    <w:rsid w:val="00767F2E"/>
    <w:rsid w:val="00770BA6"/>
    <w:rsid w:val="00775AA1"/>
    <w:rsid w:val="007800CD"/>
    <w:rsid w:val="0078380C"/>
    <w:rsid w:val="00783FB6"/>
    <w:rsid w:val="00786500"/>
    <w:rsid w:val="007906E0"/>
    <w:rsid w:val="007A7C22"/>
    <w:rsid w:val="007B7038"/>
    <w:rsid w:val="007D3C29"/>
    <w:rsid w:val="007D6983"/>
    <w:rsid w:val="007E1024"/>
    <w:rsid w:val="007E2A7A"/>
    <w:rsid w:val="007E43A2"/>
    <w:rsid w:val="007F2126"/>
    <w:rsid w:val="00807A84"/>
    <w:rsid w:val="008100B8"/>
    <w:rsid w:val="00813543"/>
    <w:rsid w:val="00814721"/>
    <w:rsid w:val="00815703"/>
    <w:rsid w:val="00815974"/>
    <w:rsid w:val="00821725"/>
    <w:rsid w:val="00826102"/>
    <w:rsid w:val="008301E6"/>
    <w:rsid w:val="00833B52"/>
    <w:rsid w:val="00844179"/>
    <w:rsid w:val="008443FA"/>
    <w:rsid w:val="008458DA"/>
    <w:rsid w:val="0087384A"/>
    <w:rsid w:val="00881DAD"/>
    <w:rsid w:val="008833D8"/>
    <w:rsid w:val="0088664F"/>
    <w:rsid w:val="00891F3B"/>
    <w:rsid w:val="008B2EC5"/>
    <w:rsid w:val="008C1C7B"/>
    <w:rsid w:val="008D215F"/>
    <w:rsid w:val="008D406B"/>
    <w:rsid w:val="008D5328"/>
    <w:rsid w:val="008E072D"/>
    <w:rsid w:val="008E2D59"/>
    <w:rsid w:val="008F22E5"/>
    <w:rsid w:val="008F54D3"/>
    <w:rsid w:val="008F582F"/>
    <w:rsid w:val="008F73B2"/>
    <w:rsid w:val="00911E6B"/>
    <w:rsid w:val="00913AAE"/>
    <w:rsid w:val="0091475A"/>
    <w:rsid w:val="00915F35"/>
    <w:rsid w:val="00925663"/>
    <w:rsid w:val="009322B7"/>
    <w:rsid w:val="00934225"/>
    <w:rsid w:val="0093671C"/>
    <w:rsid w:val="00941796"/>
    <w:rsid w:val="00942623"/>
    <w:rsid w:val="0095073E"/>
    <w:rsid w:val="0095473B"/>
    <w:rsid w:val="00956416"/>
    <w:rsid w:val="0095663C"/>
    <w:rsid w:val="009611CB"/>
    <w:rsid w:val="009673BE"/>
    <w:rsid w:val="009728A6"/>
    <w:rsid w:val="009741CC"/>
    <w:rsid w:val="00974A40"/>
    <w:rsid w:val="009828C3"/>
    <w:rsid w:val="009874A1"/>
    <w:rsid w:val="009918B0"/>
    <w:rsid w:val="00992758"/>
    <w:rsid w:val="00992E9C"/>
    <w:rsid w:val="009933C0"/>
    <w:rsid w:val="009956FB"/>
    <w:rsid w:val="009A0DE6"/>
    <w:rsid w:val="009A0E47"/>
    <w:rsid w:val="009A25A2"/>
    <w:rsid w:val="009A41A5"/>
    <w:rsid w:val="009A65CF"/>
    <w:rsid w:val="009C3CEF"/>
    <w:rsid w:val="009D2F06"/>
    <w:rsid w:val="009D7A74"/>
    <w:rsid w:val="009E362A"/>
    <w:rsid w:val="009E542E"/>
    <w:rsid w:val="009F0094"/>
    <w:rsid w:val="009F3A94"/>
    <w:rsid w:val="009F7552"/>
    <w:rsid w:val="00A0017A"/>
    <w:rsid w:val="00A03C4E"/>
    <w:rsid w:val="00A13682"/>
    <w:rsid w:val="00A14261"/>
    <w:rsid w:val="00A26369"/>
    <w:rsid w:val="00A3033D"/>
    <w:rsid w:val="00A33571"/>
    <w:rsid w:val="00A33ACD"/>
    <w:rsid w:val="00A34C2D"/>
    <w:rsid w:val="00A365ED"/>
    <w:rsid w:val="00A41A51"/>
    <w:rsid w:val="00A437BD"/>
    <w:rsid w:val="00A52364"/>
    <w:rsid w:val="00A555AF"/>
    <w:rsid w:val="00A6524C"/>
    <w:rsid w:val="00A71B56"/>
    <w:rsid w:val="00A750D2"/>
    <w:rsid w:val="00A80ED2"/>
    <w:rsid w:val="00A82CC6"/>
    <w:rsid w:val="00AA3062"/>
    <w:rsid w:val="00AA4EF3"/>
    <w:rsid w:val="00AB32A2"/>
    <w:rsid w:val="00AB620F"/>
    <w:rsid w:val="00AB62F9"/>
    <w:rsid w:val="00AB7567"/>
    <w:rsid w:val="00AC205B"/>
    <w:rsid w:val="00AC6458"/>
    <w:rsid w:val="00AD3825"/>
    <w:rsid w:val="00AD4CCD"/>
    <w:rsid w:val="00AE1E0E"/>
    <w:rsid w:val="00AF1E55"/>
    <w:rsid w:val="00B00B7F"/>
    <w:rsid w:val="00B1232A"/>
    <w:rsid w:val="00B226EF"/>
    <w:rsid w:val="00B26CDB"/>
    <w:rsid w:val="00B30259"/>
    <w:rsid w:val="00B3436F"/>
    <w:rsid w:val="00B46EB9"/>
    <w:rsid w:val="00B528DD"/>
    <w:rsid w:val="00B57ED2"/>
    <w:rsid w:val="00B65B20"/>
    <w:rsid w:val="00B741A7"/>
    <w:rsid w:val="00B75615"/>
    <w:rsid w:val="00B814B1"/>
    <w:rsid w:val="00B86B6D"/>
    <w:rsid w:val="00B93DC2"/>
    <w:rsid w:val="00B9737E"/>
    <w:rsid w:val="00BE74BB"/>
    <w:rsid w:val="00BE7BA9"/>
    <w:rsid w:val="00BF5B4F"/>
    <w:rsid w:val="00BF7D44"/>
    <w:rsid w:val="00C0378D"/>
    <w:rsid w:val="00C038CA"/>
    <w:rsid w:val="00C0592C"/>
    <w:rsid w:val="00C11458"/>
    <w:rsid w:val="00C236A9"/>
    <w:rsid w:val="00C45890"/>
    <w:rsid w:val="00C47C83"/>
    <w:rsid w:val="00C50C7A"/>
    <w:rsid w:val="00C64ECD"/>
    <w:rsid w:val="00C6578F"/>
    <w:rsid w:val="00C7124E"/>
    <w:rsid w:val="00C73CB4"/>
    <w:rsid w:val="00C76ADB"/>
    <w:rsid w:val="00C81DA8"/>
    <w:rsid w:val="00C9166D"/>
    <w:rsid w:val="00C945FB"/>
    <w:rsid w:val="00CA1F2C"/>
    <w:rsid w:val="00CA4399"/>
    <w:rsid w:val="00CB1241"/>
    <w:rsid w:val="00CB167A"/>
    <w:rsid w:val="00CC06FD"/>
    <w:rsid w:val="00CC076C"/>
    <w:rsid w:val="00CC2CE4"/>
    <w:rsid w:val="00CC5CC0"/>
    <w:rsid w:val="00CD20DE"/>
    <w:rsid w:val="00CE266E"/>
    <w:rsid w:val="00CF5D4C"/>
    <w:rsid w:val="00D01459"/>
    <w:rsid w:val="00D144DC"/>
    <w:rsid w:val="00D17DB1"/>
    <w:rsid w:val="00D24378"/>
    <w:rsid w:val="00D3696B"/>
    <w:rsid w:val="00D40087"/>
    <w:rsid w:val="00D40CEA"/>
    <w:rsid w:val="00D4218F"/>
    <w:rsid w:val="00D43863"/>
    <w:rsid w:val="00D44C01"/>
    <w:rsid w:val="00D469DB"/>
    <w:rsid w:val="00D4750F"/>
    <w:rsid w:val="00D541BD"/>
    <w:rsid w:val="00D64AA2"/>
    <w:rsid w:val="00D66DF6"/>
    <w:rsid w:val="00D9386B"/>
    <w:rsid w:val="00D97237"/>
    <w:rsid w:val="00DA2E82"/>
    <w:rsid w:val="00DB35E3"/>
    <w:rsid w:val="00DB4829"/>
    <w:rsid w:val="00DB6119"/>
    <w:rsid w:val="00DB63ED"/>
    <w:rsid w:val="00DC1836"/>
    <w:rsid w:val="00DC408B"/>
    <w:rsid w:val="00DD0F8D"/>
    <w:rsid w:val="00DD1ABC"/>
    <w:rsid w:val="00DD343B"/>
    <w:rsid w:val="00DD54F6"/>
    <w:rsid w:val="00DD7FFD"/>
    <w:rsid w:val="00DE0DEB"/>
    <w:rsid w:val="00DE66B7"/>
    <w:rsid w:val="00DE6A59"/>
    <w:rsid w:val="00DE78DC"/>
    <w:rsid w:val="00DF43A4"/>
    <w:rsid w:val="00DF6BA1"/>
    <w:rsid w:val="00E03DDD"/>
    <w:rsid w:val="00E053A6"/>
    <w:rsid w:val="00E056AE"/>
    <w:rsid w:val="00E1378E"/>
    <w:rsid w:val="00E166EC"/>
    <w:rsid w:val="00E2003B"/>
    <w:rsid w:val="00E21610"/>
    <w:rsid w:val="00E24B9F"/>
    <w:rsid w:val="00E26478"/>
    <w:rsid w:val="00E3165D"/>
    <w:rsid w:val="00E33DC7"/>
    <w:rsid w:val="00E3702D"/>
    <w:rsid w:val="00E40DAF"/>
    <w:rsid w:val="00E464FF"/>
    <w:rsid w:val="00E63AC5"/>
    <w:rsid w:val="00E67660"/>
    <w:rsid w:val="00E72216"/>
    <w:rsid w:val="00E72BFD"/>
    <w:rsid w:val="00E75B17"/>
    <w:rsid w:val="00E926D7"/>
    <w:rsid w:val="00E945B9"/>
    <w:rsid w:val="00EA2425"/>
    <w:rsid w:val="00EA2B0F"/>
    <w:rsid w:val="00EA5645"/>
    <w:rsid w:val="00EA5758"/>
    <w:rsid w:val="00EA69E5"/>
    <w:rsid w:val="00EB4706"/>
    <w:rsid w:val="00ED3337"/>
    <w:rsid w:val="00ED37AF"/>
    <w:rsid w:val="00EE1D3F"/>
    <w:rsid w:val="00EE2C8A"/>
    <w:rsid w:val="00EE43E3"/>
    <w:rsid w:val="00EE5D6E"/>
    <w:rsid w:val="00EF29E6"/>
    <w:rsid w:val="00F06403"/>
    <w:rsid w:val="00F168E8"/>
    <w:rsid w:val="00F22CB7"/>
    <w:rsid w:val="00F2363D"/>
    <w:rsid w:val="00F23991"/>
    <w:rsid w:val="00F36BC7"/>
    <w:rsid w:val="00F43689"/>
    <w:rsid w:val="00F50920"/>
    <w:rsid w:val="00F5356F"/>
    <w:rsid w:val="00F60246"/>
    <w:rsid w:val="00F60DA8"/>
    <w:rsid w:val="00F612F5"/>
    <w:rsid w:val="00F6534C"/>
    <w:rsid w:val="00F778AD"/>
    <w:rsid w:val="00F85E64"/>
    <w:rsid w:val="00F90745"/>
    <w:rsid w:val="00F92D59"/>
    <w:rsid w:val="00F93E11"/>
    <w:rsid w:val="00F94262"/>
    <w:rsid w:val="00FA0074"/>
    <w:rsid w:val="00FA1B20"/>
    <w:rsid w:val="00FA2D4A"/>
    <w:rsid w:val="00FB126A"/>
    <w:rsid w:val="00FB3F40"/>
    <w:rsid w:val="00FB46CE"/>
    <w:rsid w:val="00FC1D0E"/>
    <w:rsid w:val="00FC26CC"/>
    <w:rsid w:val="00FC4877"/>
    <w:rsid w:val="00FC613C"/>
    <w:rsid w:val="00FC79AF"/>
    <w:rsid w:val="00FD2ED8"/>
    <w:rsid w:val="00FD6F6B"/>
    <w:rsid w:val="00FD72A9"/>
    <w:rsid w:val="00FF10DD"/>
    <w:rsid w:val="00FF48A4"/>
    <w:rsid w:val="00FF6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1FB5"/>
  </w:style>
  <w:style w:type="paragraph" w:styleId="Cmsor1">
    <w:name w:val="heading 1"/>
    <w:basedOn w:val="Norml"/>
    <w:next w:val="Norml"/>
    <w:link w:val="Cmsor1Char"/>
    <w:uiPriority w:val="9"/>
    <w:qFormat/>
    <w:rsid w:val="00186379"/>
    <w:pPr>
      <w:spacing w:after="240" w:line="360" w:lineRule="auto"/>
      <w:jc w:val="both"/>
      <w:outlineLvl w:val="0"/>
    </w:pPr>
    <w:rPr>
      <w:rFonts w:asciiTheme="majorHAnsi" w:eastAsia="Times New Roman" w:hAnsiTheme="majorHAnsi" w:cs="Times New Roman"/>
      <w:b/>
      <w:sz w:val="28"/>
      <w:szCs w:val="24"/>
      <w:lang w:eastAsia="hu-HU"/>
    </w:rPr>
  </w:style>
  <w:style w:type="paragraph" w:styleId="Cmsor2">
    <w:name w:val="heading 2"/>
    <w:basedOn w:val="Norml"/>
    <w:next w:val="Norml"/>
    <w:link w:val="Cmsor2Char"/>
    <w:uiPriority w:val="9"/>
    <w:unhideWhenUsed/>
    <w:qFormat/>
    <w:rsid w:val="003F7DAA"/>
    <w:pPr>
      <w:keepNext/>
      <w:spacing w:after="0" w:line="360" w:lineRule="auto"/>
      <w:jc w:val="both"/>
      <w:outlineLvl w:val="1"/>
    </w:pPr>
    <w:rPr>
      <w:rFonts w:asciiTheme="majorHAnsi" w:eastAsia="Times New Roman" w:hAnsiTheme="majorHAnsi" w:cs="Times New Roman"/>
      <w:b/>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86379"/>
    <w:rPr>
      <w:rFonts w:asciiTheme="majorHAnsi" w:eastAsia="Times New Roman" w:hAnsiTheme="majorHAnsi" w:cs="Times New Roman"/>
      <w:b/>
      <w:sz w:val="28"/>
      <w:szCs w:val="24"/>
      <w:lang w:eastAsia="hu-HU"/>
    </w:rPr>
  </w:style>
  <w:style w:type="character" w:customStyle="1" w:styleId="Cmsor2Char">
    <w:name w:val="Címsor 2 Char"/>
    <w:basedOn w:val="Bekezdsalapbettpusa"/>
    <w:link w:val="Cmsor2"/>
    <w:uiPriority w:val="9"/>
    <w:rsid w:val="003F7DAA"/>
    <w:rPr>
      <w:rFonts w:asciiTheme="majorHAnsi" w:eastAsia="Times New Roman" w:hAnsiTheme="majorHAnsi" w:cs="Times New Roman"/>
      <w:b/>
      <w:sz w:val="24"/>
      <w:szCs w:val="24"/>
      <w:lang w:eastAsia="hu-HU"/>
    </w:rPr>
  </w:style>
  <w:style w:type="paragraph" w:styleId="lfej">
    <w:name w:val="header"/>
    <w:basedOn w:val="Norml"/>
    <w:link w:val="lfejChar"/>
    <w:uiPriority w:val="99"/>
    <w:unhideWhenUsed/>
    <w:rsid w:val="00430568"/>
    <w:pPr>
      <w:tabs>
        <w:tab w:val="center" w:pos="4536"/>
        <w:tab w:val="right" w:pos="9072"/>
      </w:tabs>
      <w:spacing w:after="0" w:line="240" w:lineRule="auto"/>
    </w:pPr>
  </w:style>
  <w:style w:type="character" w:customStyle="1" w:styleId="lfejChar">
    <w:name w:val="Élőfej Char"/>
    <w:basedOn w:val="Bekezdsalapbettpusa"/>
    <w:link w:val="lfej"/>
    <w:uiPriority w:val="99"/>
    <w:rsid w:val="00430568"/>
  </w:style>
  <w:style w:type="paragraph" w:styleId="llb">
    <w:name w:val="footer"/>
    <w:basedOn w:val="Norml"/>
    <w:link w:val="llbChar"/>
    <w:uiPriority w:val="99"/>
    <w:unhideWhenUsed/>
    <w:rsid w:val="00430568"/>
    <w:pPr>
      <w:tabs>
        <w:tab w:val="center" w:pos="4536"/>
        <w:tab w:val="right" w:pos="9072"/>
      </w:tabs>
      <w:spacing w:after="0" w:line="240" w:lineRule="auto"/>
    </w:pPr>
  </w:style>
  <w:style w:type="character" w:customStyle="1" w:styleId="llbChar">
    <w:name w:val="Élőláb Char"/>
    <w:basedOn w:val="Bekezdsalapbettpusa"/>
    <w:link w:val="llb"/>
    <w:uiPriority w:val="99"/>
    <w:rsid w:val="00430568"/>
  </w:style>
  <w:style w:type="character" w:styleId="Helyrzszveg">
    <w:name w:val="Placeholder Text"/>
    <w:basedOn w:val="Bekezdsalapbettpusa"/>
    <w:uiPriority w:val="99"/>
    <w:semiHidden/>
    <w:rsid w:val="00915F35"/>
    <w:rPr>
      <w:color w:val="808080"/>
    </w:rPr>
  </w:style>
  <w:style w:type="paragraph" w:styleId="Buborkszveg">
    <w:name w:val="Balloon Text"/>
    <w:basedOn w:val="Norml"/>
    <w:link w:val="BuborkszvegChar"/>
    <w:uiPriority w:val="99"/>
    <w:semiHidden/>
    <w:unhideWhenUsed/>
    <w:rsid w:val="00915F3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F35"/>
    <w:rPr>
      <w:rFonts w:ascii="Tahoma" w:hAnsi="Tahoma" w:cs="Tahoma"/>
      <w:sz w:val="16"/>
      <w:szCs w:val="16"/>
    </w:rPr>
  </w:style>
  <w:style w:type="paragraph" w:styleId="Lbjegyzetszveg">
    <w:name w:val="footnote text"/>
    <w:basedOn w:val="Norml"/>
    <w:link w:val="LbjegyzetszvegChar"/>
    <w:uiPriority w:val="99"/>
    <w:semiHidden/>
    <w:unhideWhenUsed/>
    <w:rsid w:val="005A2E2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A2E2C"/>
    <w:rPr>
      <w:sz w:val="20"/>
      <w:szCs w:val="20"/>
    </w:rPr>
  </w:style>
  <w:style w:type="character" w:styleId="Lbjegyzet-hivatkozs">
    <w:name w:val="footnote reference"/>
    <w:basedOn w:val="Bekezdsalapbettpusa"/>
    <w:uiPriority w:val="99"/>
    <w:semiHidden/>
    <w:unhideWhenUsed/>
    <w:rsid w:val="005A2E2C"/>
    <w:rPr>
      <w:vertAlign w:val="superscript"/>
    </w:rPr>
  </w:style>
  <w:style w:type="character" w:styleId="Hiperhivatkozs">
    <w:name w:val="Hyperlink"/>
    <w:basedOn w:val="Bekezdsalapbettpusa"/>
    <w:uiPriority w:val="99"/>
    <w:unhideWhenUsed/>
    <w:rsid w:val="00765F65"/>
    <w:rPr>
      <w:color w:val="0000FF" w:themeColor="hyperlink"/>
      <w:u w:val="single"/>
    </w:rPr>
  </w:style>
  <w:style w:type="paragraph" w:styleId="Kpalrs">
    <w:name w:val="caption"/>
    <w:basedOn w:val="Norml"/>
    <w:next w:val="Norml"/>
    <w:uiPriority w:val="35"/>
    <w:unhideWhenUsed/>
    <w:qFormat/>
    <w:rsid w:val="00FD6F6B"/>
    <w:pPr>
      <w:spacing w:line="360" w:lineRule="auto"/>
      <w:jc w:val="center"/>
    </w:pPr>
    <w:rPr>
      <w:rFonts w:ascii="Cambria" w:eastAsia="Times New Roman" w:hAnsi="Cambria" w:cs="Times New Roman"/>
      <w:b/>
      <w:bCs/>
      <w:color w:val="4F81BD" w:themeColor="accent1"/>
      <w:sz w:val="20"/>
      <w:lang w:eastAsia="hu-HU"/>
    </w:rPr>
  </w:style>
  <w:style w:type="table" w:styleId="Rcsostblzat">
    <w:name w:val="Table Grid"/>
    <w:basedOn w:val="Normltblzat"/>
    <w:uiPriority w:val="59"/>
    <w:rsid w:val="0062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tnus">
    <w:name w:val="Light Shading"/>
    <w:basedOn w:val="Normltblzat"/>
    <w:uiPriority w:val="60"/>
    <w:rsid w:val="00621C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aszerbekezds">
    <w:name w:val="List Paragraph"/>
    <w:basedOn w:val="Norml"/>
    <w:uiPriority w:val="34"/>
    <w:qFormat/>
    <w:rsid w:val="00E3165D"/>
    <w:pPr>
      <w:ind w:left="720"/>
      <w:contextualSpacing/>
    </w:pPr>
  </w:style>
  <w:style w:type="paragraph" w:styleId="NormlWeb">
    <w:name w:val="Normal (Web)"/>
    <w:basedOn w:val="Norml"/>
    <w:uiPriority w:val="99"/>
    <w:semiHidden/>
    <w:unhideWhenUsed/>
    <w:rsid w:val="00783FB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rajegyzk">
    <w:name w:val="table of figures"/>
    <w:basedOn w:val="Norml"/>
    <w:next w:val="Norml"/>
    <w:uiPriority w:val="99"/>
    <w:unhideWhenUsed/>
    <w:rsid w:val="00514544"/>
    <w:pPr>
      <w:spacing w:after="0"/>
    </w:pPr>
  </w:style>
  <w:style w:type="paragraph" w:styleId="Tartalomjegyzkcmsora">
    <w:name w:val="TOC Heading"/>
    <w:basedOn w:val="Cmsor1"/>
    <w:next w:val="Norml"/>
    <w:uiPriority w:val="39"/>
    <w:unhideWhenUsed/>
    <w:qFormat/>
    <w:rsid w:val="00BF7D44"/>
    <w:pPr>
      <w:keepNext/>
      <w:keepLines/>
      <w:spacing w:before="480" w:after="0" w:line="276" w:lineRule="auto"/>
      <w:jc w:val="left"/>
      <w:outlineLvl w:val="9"/>
    </w:pPr>
    <w:rPr>
      <w:rFonts w:eastAsiaTheme="majorEastAsia" w:cstheme="majorBidi"/>
      <w:bCs/>
      <w:color w:val="365F91" w:themeColor="accent1" w:themeShade="BF"/>
      <w:szCs w:val="28"/>
    </w:rPr>
  </w:style>
  <w:style w:type="paragraph" w:styleId="TJ1">
    <w:name w:val="toc 1"/>
    <w:basedOn w:val="Norml"/>
    <w:next w:val="Norml"/>
    <w:autoRedefine/>
    <w:uiPriority w:val="39"/>
    <w:unhideWhenUsed/>
    <w:rsid w:val="00BF7D44"/>
    <w:pPr>
      <w:tabs>
        <w:tab w:val="right" w:pos="9062"/>
      </w:tabs>
      <w:spacing w:after="0"/>
    </w:pPr>
  </w:style>
  <w:style w:type="paragraph" w:styleId="TJ2">
    <w:name w:val="toc 2"/>
    <w:basedOn w:val="Norml"/>
    <w:next w:val="Norml"/>
    <w:autoRedefine/>
    <w:uiPriority w:val="39"/>
    <w:unhideWhenUsed/>
    <w:rsid w:val="00BF7D4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08569">
      <w:bodyDiv w:val="1"/>
      <w:marLeft w:val="0"/>
      <w:marRight w:val="0"/>
      <w:marTop w:val="0"/>
      <w:marBottom w:val="0"/>
      <w:divBdr>
        <w:top w:val="none" w:sz="0" w:space="0" w:color="auto"/>
        <w:left w:val="none" w:sz="0" w:space="0" w:color="auto"/>
        <w:bottom w:val="none" w:sz="0" w:space="0" w:color="auto"/>
        <w:right w:val="none" w:sz="0" w:space="0" w:color="auto"/>
      </w:divBdr>
    </w:div>
    <w:div w:id="612593421">
      <w:bodyDiv w:val="1"/>
      <w:marLeft w:val="0"/>
      <w:marRight w:val="0"/>
      <w:marTop w:val="0"/>
      <w:marBottom w:val="0"/>
      <w:divBdr>
        <w:top w:val="none" w:sz="0" w:space="0" w:color="auto"/>
        <w:left w:val="none" w:sz="0" w:space="0" w:color="auto"/>
        <w:bottom w:val="none" w:sz="0" w:space="0" w:color="auto"/>
        <w:right w:val="none" w:sz="0" w:space="0" w:color="auto"/>
      </w:divBdr>
    </w:div>
    <w:div w:id="1655181099">
      <w:bodyDiv w:val="1"/>
      <w:marLeft w:val="0"/>
      <w:marRight w:val="0"/>
      <w:marTop w:val="0"/>
      <w:marBottom w:val="0"/>
      <w:divBdr>
        <w:top w:val="none" w:sz="0" w:space="0" w:color="auto"/>
        <w:left w:val="none" w:sz="0" w:space="0" w:color="auto"/>
        <w:bottom w:val="none" w:sz="0" w:space="0" w:color="auto"/>
        <w:right w:val="none" w:sz="0" w:space="0" w:color="auto"/>
      </w:divBdr>
    </w:div>
    <w:div w:id="21431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a.lib.unideb.hu/dea/bitstream/handle/2437/236563/Csapodi_Csaba_doktori_ertekezes_vegleg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folyoiratok.ofi.hu/uj-pedagogiai-szemle/a-gimnaziumi-felveteli-vizsga-eredmenyenek-es-a-gimnaziumi-tanulas"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miau.gau.hu/miau/196/My-X%20Team_A5%20fuzet_EN_jav.pdf" TargetMode="External"/><Relationship Id="rId1" Type="http://schemas.openxmlformats.org/officeDocument/2006/relationships/hyperlink" Target="http://miau.gau.hu/myx-free/coc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ci\Desktop\Erettsegi-egyete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unkaf&#252;zet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ci\Desktop\Erettsegi-egyete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ci\Desktop\Erettsegi-egyete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aci\Desktop\Erettsegi-egyete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aci\Desktop\Erettsegi-egyet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mj-lt"/>
              </a:defRPr>
            </a:pPr>
            <a:r>
              <a:rPr lang="hu-HU">
                <a:latin typeface="+mj-lt"/>
              </a:rPr>
              <a:t>Az é</a:t>
            </a:r>
            <a:r>
              <a:rPr lang="en-US">
                <a:latin typeface="+mj-lt"/>
              </a:rPr>
              <a:t>rettségi típusa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Érettségi típusa</c:v>
          </c:tx>
          <c:dLbls>
            <c:dLbl>
              <c:idx val="2"/>
              <c:layout>
                <c:manualLayout>
                  <c:x val="8.3333333333333332E-3"/>
                  <c:y val="0"/>
                </c:manualLayout>
              </c:layout>
              <c:dLblPos val="bestFit"/>
              <c:showLegendKey val="0"/>
              <c:showVal val="0"/>
              <c:showCatName val="0"/>
              <c:showSerName val="0"/>
              <c:showPercent val="1"/>
              <c:showBubbleSize val="0"/>
            </c:dLbl>
            <c:dLbl>
              <c:idx val="3"/>
              <c:layout>
                <c:manualLayout>
                  <c:x val="2.5000000000000001E-2"/>
                  <c:y val="0"/>
                </c:manualLayout>
              </c:layout>
              <c:dLblPos val="bestFit"/>
              <c:showLegendKey val="0"/>
              <c:showVal val="0"/>
              <c:showCatName val="0"/>
              <c:showSerName val="0"/>
              <c:showPercent val="1"/>
              <c:showBubbleSize val="0"/>
            </c:dLbl>
            <c:spPr>
              <a:noFill/>
              <a:ln>
                <a:noFill/>
              </a:ln>
            </c:spPr>
            <c:txPr>
              <a:bodyPr/>
              <a:lstStyle/>
              <a:p>
                <a:pPr>
                  <a:defRPr sz="1200" b="1">
                    <a:latin typeface="+mj-lt"/>
                  </a:defRPr>
                </a:pPr>
                <a:endParaRPr lang="hu-HU"/>
              </a:p>
            </c:txPr>
            <c:dLblPos val="outEnd"/>
            <c:showLegendKey val="0"/>
            <c:showVal val="0"/>
            <c:showCatName val="0"/>
            <c:showSerName val="0"/>
            <c:showPercent val="1"/>
            <c:showBubbleSize val="0"/>
            <c:showLeaderLines val="1"/>
          </c:dLbls>
          <c:cat>
            <c:strLit>
              <c:ptCount val="4"/>
              <c:pt idx="0">
                <c:v>Emelt</c:v>
              </c:pt>
              <c:pt idx="1">
                <c:v>Közép</c:v>
              </c:pt>
              <c:pt idx="2">
                <c:v>Régi</c:v>
              </c:pt>
              <c:pt idx="3">
                <c:v>n.a.</c:v>
              </c:pt>
            </c:strLit>
          </c:cat>
          <c:val>
            <c:numRef>
              <c:f>érettségi2!$BC$154:$BC$157</c:f>
              <c:numCache>
                <c:formatCode>General</c:formatCode>
                <c:ptCount val="4"/>
                <c:pt idx="0">
                  <c:v>97</c:v>
                </c:pt>
                <c:pt idx="1">
                  <c:v>32</c:v>
                </c:pt>
                <c:pt idx="2">
                  <c:v>5</c:v>
                </c:pt>
                <c:pt idx="3">
                  <c:v>4</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latin typeface="+mj-lt"/>
            </a:defRPr>
          </a:pPr>
          <a:endParaRPr lang="hu-H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mj-lt"/>
            </a:defRPr>
          </a:pPr>
          <a:endParaRPr lang="hu-HU"/>
        </a:p>
      </c:txPr>
    </c:title>
    <c:autoTitleDeleted val="0"/>
    <c:plotArea>
      <c:layout/>
      <c:barChart>
        <c:barDir val="col"/>
        <c:grouping val="clustered"/>
        <c:varyColors val="0"/>
        <c:ser>
          <c:idx val="0"/>
          <c:order val="0"/>
          <c:tx>
            <c:v>Az érettségi éve</c:v>
          </c:tx>
          <c:invertIfNegative val="0"/>
          <c:cat>
            <c:strRef>
              <c:f>'[Erettsegi-egyetem.xlsx]érettségi farigcsa'!$AZ$162:$AZ$171</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'[Erettsegi-egyetem.xlsx]érettségi farigcsa'!$BA$162:$BA$171</c:f>
              <c:numCache>
                <c:formatCode>General</c:formatCode>
                <c:ptCount val="10"/>
                <c:pt idx="0">
                  <c:v>6</c:v>
                </c:pt>
                <c:pt idx="1">
                  <c:v>2</c:v>
                </c:pt>
                <c:pt idx="2">
                  <c:v>1</c:v>
                </c:pt>
                <c:pt idx="3">
                  <c:v>0</c:v>
                </c:pt>
                <c:pt idx="4">
                  <c:v>6</c:v>
                </c:pt>
                <c:pt idx="5">
                  <c:v>6</c:v>
                </c:pt>
                <c:pt idx="6">
                  <c:v>7</c:v>
                </c:pt>
                <c:pt idx="7">
                  <c:v>4</c:v>
                </c:pt>
                <c:pt idx="8">
                  <c:v>17</c:v>
                </c:pt>
                <c:pt idx="9">
                  <c:v>89</c:v>
                </c:pt>
              </c:numCache>
            </c:numRef>
          </c:val>
        </c:ser>
        <c:dLbls>
          <c:showLegendKey val="0"/>
          <c:showVal val="0"/>
          <c:showCatName val="0"/>
          <c:showSerName val="0"/>
          <c:showPercent val="0"/>
          <c:showBubbleSize val="0"/>
        </c:dLbls>
        <c:gapWidth val="150"/>
        <c:axId val="189348864"/>
        <c:axId val="189596800"/>
      </c:barChart>
      <c:catAx>
        <c:axId val="189348864"/>
        <c:scaling>
          <c:orientation val="minMax"/>
        </c:scaling>
        <c:delete val="0"/>
        <c:axPos val="b"/>
        <c:numFmt formatCode="General" sourceLinked="1"/>
        <c:majorTickMark val="out"/>
        <c:minorTickMark val="none"/>
        <c:tickLblPos val="nextTo"/>
        <c:txPr>
          <a:bodyPr/>
          <a:lstStyle/>
          <a:p>
            <a:pPr>
              <a:defRPr>
                <a:latin typeface="+mj-lt"/>
              </a:defRPr>
            </a:pPr>
            <a:endParaRPr lang="hu-HU"/>
          </a:p>
        </c:txPr>
        <c:crossAx val="189596800"/>
        <c:crosses val="autoZero"/>
        <c:auto val="1"/>
        <c:lblAlgn val="ctr"/>
        <c:lblOffset val="100"/>
        <c:noMultiLvlLbl val="0"/>
      </c:catAx>
      <c:valAx>
        <c:axId val="189596800"/>
        <c:scaling>
          <c:orientation val="minMax"/>
        </c:scaling>
        <c:delete val="0"/>
        <c:axPos val="l"/>
        <c:majorGridlines/>
        <c:numFmt formatCode="General" sourceLinked="1"/>
        <c:majorTickMark val="out"/>
        <c:minorTickMark val="none"/>
        <c:tickLblPos val="nextTo"/>
        <c:txPr>
          <a:bodyPr/>
          <a:lstStyle/>
          <a:p>
            <a:pPr>
              <a:defRPr>
                <a:latin typeface="+mj-lt"/>
              </a:defRPr>
            </a:pPr>
            <a:endParaRPr lang="hu-HU"/>
          </a:p>
        </c:txPr>
        <c:crossAx val="1893488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COCO-Y0 pontszám</a:t>
            </a:r>
            <a:br>
              <a:rPr lang="hu-HU"/>
            </a:br>
            <a:r>
              <a:rPr lang="hu-HU"/>
              <a:t>a tanulmányi átlag függvényében</a:t>
            </a:r>
            <a:endParaRPr lang="en-US"/>
          </a:p>
        </c:rich>
      </c:tx>
      <c:overlay val="0"/>
    </c:title>
    <c:autoTitleDeleted val="0"/>
    <c:plotArea>
      <c:layout/>
      <c:scatterChart>
        <c:scatterStyle val="lineMarker"/>
        <c:varyColors val="0"/>
        <c:ser>
          <c:idx val="0"/>
          <c:order val="0"/>
          <c:tx>
            <c:v>COCO-Y0 pontszám és az elhagyott tanegységekkel számolt tanulmányi átlag közötti összefüggés</c:v>
          </c:tx>
          <c:spPr>
            <a:ln w="19050">
              <a:noFill/>
            </a:ln>
          </c:spPr>
          <c:marker>
            <c:symbol val="diamond"/>
            <c:size val="7"/>
          </c:marker>
          <c:xVal>
            <c:numRef>
              <c:f>OAM!$Q$3:$Q$140</c:f>
              <c:numCache>
                <c:formatCode>0.00</c:formatCode>
                <c:ptCount val="138"/>
                <c:pt idx="0">
                  <c:v>2.5555555555555554</c:v>
                </c:pt>
                <c:pt idx="1">
                  <c:v>3.2222222222222223</c:v>
                </c:pt>
                <c:pt idx="2">
                  <c:v>2.8888888888888888</c:v>
                </c:pt>
                <c:pt idx="3">
                  <c:v>2.6666666666666665</c:v>
                </c:pt>
                <c:pt idx="4">
                  <c:v>4.666666666666667</c:v>
                </c:pt>
                <c:pt idx="5">
                  <c:v>0.55555555555555558</c:v>
                </c:pt>
                <c:pt idx="6">
                  <c:v>0.44444444444444442</c:v>
                </c:pt>
                <c:pt idx="7">
                  <c:v>3.1111111111111112</c:v>
                </c:pt>
                <c:pt idx="8">
                  <c:v>3.6666666666666665</c:v>
                </c:pt>
                <c:pt idx="9">
                  <c:v>2.2222222222222223</c:v>
                </c:pt>
                <c:pt idx="10">
                  <c:v>3.2222222222222223</c:v>
                </c:pt>
                <c:pt idx="11">
                  <c:v>0.33333333333333331</c:v>
                </c:pt>
                <c:pt idx="12">
                  <c:v>3.3333333333333335</c:v>
                </c:pt>
                <c:pt idx="13">
                  <c:v>4</c:v>
                </c:pt>
                <c:pt idx="14">
                  <c:v>4.4444444444444446</c:v>
                </c:pt>
                <c:pt idx="15">
                  <c:v>3.1111111111111112</c:v>
                </c:pt>
                <c:pt idx="16">
                  <c:v>4.8888888888888893</c:v>
                </c:pt>
                <c:pt idx="17">
                  <c:v>3.4444444444444446</c:v>
                </c:pt>
                <c:pt idx="18">
                  <c:v>0.55555555555555558</c:v>
                </c:pt>
                <c:pt idx="19">
                  <c:v>0</c:v>
                </c:pt>
                <c:pt idx="20">
                  <c:v>0.55555555555555558</c:v>
                </c:pt>
                <c:pt idx="21">
                  <c:v>2.6666666666666665</c:v>
                </c:pt>
                <c:pt idx="22">
                  <c:v>0</c:v>
                </c:pt>
                <c:pt idx="23">
                  <c:v>0.88888888888888884</c:v>
                </c:pt>
                <c:pt idx="24">
                  <c:v>4.333333333333333</c:v>
                </c:pt>
                <c:pt idx="25">
                  <c:v>1.2222222222222223</c:v>
                </c:pt>
                <c:pt idx="26">
                  <c:v>4.5555555555555554</c:v>
                </c:pt>
                <c:pt idx="27">
                  <c:v>2.8888888888888888</c:v>
                </c:pt>
                <c:pt idx="28">
                  <c:v>3.5555555555555554</c:v>
                </c:pt>
                <c:pt idx="29">
                  <c:v>4</c:v>
                </c:pt>
                <c:pt idx="30">
                  <c:v>2</c:v>
                </c:pt>
                <c:pt idx="31">
                  <c:v>3.4444444444444446</c:v>
                </c:pt>
                <c:pt idx="32">
                  <c:v>2.3333333333333335</c:v>
                </c:pt>
                <c:pt idx="33">
                  <c:v>3.4444444444444446</c:v>
                </c:pt>
                <c:pt idx="34">
                  <c:v>3</c:v>
                </c:pt>
                <c:pt idx="35">
                  <c:v>0.55555555555555558</c:v>
                </c:pt>
                <c:pt idx="36">
                  <c:v>3.8888888888888888</c:v>
                </c:pt>
                <c:pt idx="37">
                  <c:v>0</c:v>
                </c:pt>
                <c:pt idx="38">
                  <c:v>2.2222222222222223</c:v>
                </c:pt>
                <c:pt idx="39">
                  <c:v>3.4444444444444446</c:v>
                </c:pt>
                <c:pt idx="40">
                  <c:v>0</c:v>
                </c:pt>
                <c:pt idx="41">
                  <c:v>3.3333333333333335</c:v>
                </c:pt>
                <c:pt idx="42">
                  <c:v>2.6666666666666665</c:v>
                </c:pt>
                <c:pt idx="43">
                  <c:v>2</c:v>
                </c:pt>
                <c:pt idx="44">
                  <c:v>2.6666666666666665</c:v>
                </c:pt>
                <c:pt idx="45">
                  <c:v>0.22222222222222221</c:v>
                </c:pt>
                <c:pt idx="46">
                  <c:v>0.22222222222222221</c:v>
                </c:pt>
                <c:pt idx="47">
                  <c:v>2.4444444444444446</c:v>
                </c:pt>
                <c:pt idx="48">
                  <c:v>2.7777777777777777</c:v>
                </c:pt>
                <c:pt idx="49">
                  <c:v>4.333333333333333</c:v>
                </c:pt>
                <c:pt idx="50">
                  <c:v>2.7777777777777777</c:v>
                </c:pt>
                <c:pt idx="51">
                  <c:v>2.2222222222222223</c:v>
                </c:pt>
                <c:pt idx="52">
                  <c:v>0</c:v>
                </c:pt>
                <c:pt idx="53">
                  <c:v>3.8888888888888888</c:v>
                </c:pt>
                <c:pt idx="54">
                  <c:v>4.8888888888888893</c:v>
                </c:pt>
                <c:pt idx="55">
                  <c:v>0.1111111111111111</c:v>
                </c:pt>
                <c:pt idx="56">
                  <c:v>3.6666666666666665</c:v>
                </c:pt>
                <c:pt idx="57">
                  <c:v>3.1111111111111112</c:v>
                </c:pt>
                <c:pt idx="58">
                  <c:v>1</c:v>
                </c:pt>
                <c:pt idx="59">
                  <c:v>2.3333333333333335</c:v>
                </c:pt>
                <c:pt idx="60">
                  <c:v>0.1111111111111111</c:v>
                </c:pt>
                <c:pt idx="61">
                  <c:v>0</c:v>
                </c:pt>
                <c:pt idx="62">
                  <c:v>4.333333333333333</c:v>
                </c:pt>
                <c:pt idx="63">
                  <c:v>0</c:v>
                </c:pt>
                <c:pt idx="64">
                  <c:v>2.6666666666666665</c:v>
                </c:pt>
                <c:pt idx="65">
                  <c:v>2.1111111111111112</c:v>
                </c:pt>
                <c:pt idx="66">
                  <c:v>4.333333333333333</c:v>
                </c:pt>
                <c:pt idx="67">
                  <c:v>2.6666666666666665</c:v>
                </c:pt>
                <c:pt idx="68">
                  <c:v>4.2222222222222223</c:v>
                </c:pt>
                <c:pt idx="69">
                  <c:v>1.7777777777777777</c:v>
                </c:pt>
                <c:pt idx="70">
                  <c:v>2.5555555555555554</c:v>
                </c:pt>
                <c:pt idx="71">
                  <c:v>3.8888888888888888</c:v>
                </c:pt>
                <c:pt idx="72">
                  <c:v>4.1111111111111107</c:v>
                </c:pt>
                <c:pt idx="73">
                  <c:v>2.6666666666666665</c:v>
                </c:pt>
                <c:pt idx="74">
                  <c:v>3.1111111111111112</c:v>
                </c:pt>
                <c:pt idx="75">
                  <c:v>2.3333333333333335</c:v>
                </c:pt>
                <c:pt idx="76">
                  <c:v>1.7777777777777777</c:v>
                </c:pt>
                <c:pt idx="77">
                  <c:v>0</c:v>
                </c:pt>
                <c:pt idx="78">
                  <c:v>2.4444444444444446</c:v>
                </c:pt>
                <c:pt idx="79">
                  <c:v>3.1111111111111112</c:v>
                </c:pt>
                <c:pt idx="80">
                  <c:v>4.4444444444444446</c:v>
                </c:pt>
                <c:pt idx="81">
                  <c:v>3.8888888888888888</c:v>
                </c:pt>
                <c:pt idx="82">
                  <c:v>3.2222222222222223</c:v>
                </c:pt>
                <c:pt idx="83">
                  <c:v>2.4444444444444446</c:v>
                </c:pt>
                <c:pt idx="84">
                  <c:v>3.6666666666666665</c:v>
                </c:pt>
                <c:pt idx="85">
                  <c:v>1.5555555555555556</c:v>
                </c:pt>
                <c:pt idx="86">
                  <c:v>0</c:v>
                </c:pt>
                <c:pt idx="87">
                  <c:v>5</c:v>
                </c:pt>
                <c:pt idx="88">
                  <c:v>4.7777777777777777</c:v>
                </c:pt>
                <c:pt idx="89">
                  <c:v>0.33333333333333331</c:v>
                </c:pt>
                <c:pt idx="90">
                  <c:v>3.6666666666666665</c:v>
                </c:pt>
                <c:pt idx="91">
                  <c:v>0</c:v>
                </c:pt>
                <c:pt idx="92">
                  <c:v>0.33333333333333331</c:v>
                </c:pt>
                <c:pt idx="93">
                  <c:v>3.5555555555555554</c:v>
                </c:pt>
                <c:pt idx="94">
                  <c:v>4.5555555555555554</c:v>
                </c:pt>
                <c:pt idx="95">
                  <c:v>3.6666666666666665</c:v>
                </c:pt>
                <c:pt idx="96">
                  <c:v>1.5555555555555556</c:v>
                </c:pt>
                <c:pt idx="97">
                  <c:v>2.4444444444444446</c:v>
                </c:pt>
                <c:pt idx="98">
                  <c:v>4.8888888888888893</c:v>
                </c:pt>
                <c:pt idx="99">
                  <c:v>0</c:v>
                </c:pt>
                <c:pt idx="100">
                  <c:v>3.4444444444444446</c:v>
                </c:pt>
                <c:pt idx="101">
                  <c:v>3.6666666666666665</c:v>
                </c:pt>
                <c:pt idx="102">
                  <c:v>0</c:v>
                </c:pt>
                <c:pt idx="103">
                  <c:v>4</c:v>
                </c:pt>
                <c:pt idx="104">
                  <c:v>2.4444444444444446</c:v>
                </c:pt>
                <c:pt idx="105">
                  <c:v>3.2222222222222223</c:v>
                </c:pt>
                <c:pt idx="106">
                  <c:v>0.33333333333333331</c:v>
                </c:pt>
                <c:pt idx="107">
                  <c:v>4.333333333333333</c:v>
                </c:pt>
                <c:pt idx="108">
                  <c:v>4.5555555555555554</c:v>
                </c:pt>
                <c:pt idx="109">
                  <c:v>3.2222222222222223</c:v>
                </c:pt>
                <c:pt idx="110">
                  <c:v>0</c:v>
                </c:pt>
                <c:pt idx="111">
                  <c:v>0.33333333333333331</c:v>
                </c:pt>
                <c:pt idx="112">
                  <c:v>4.2222222222222223</c:v>
                </c:pt>
                <c:pt idx="113">
                  <c:v>4.2222222222222223</c:v>
                </c:pt>
                <c:pt idx="114">
                  <c:v>0.1111111111111111</c:v>
                </c:pt>
                <c:pt idx="115">
                  <c:v>2.5555555555555554</c:v>
                </c:pt>
                <c:pt idx="116">
                  <c:v>0.22222222222222221</c:v>
                </c:pt>
                <c:pt idx="117">
                  <c:v>3.4444444444444446</c:v>
                </c:pt>
                <c:pt idx="118">
                  <c:v>2.2222222222222223</c:v>
                </c:pt>
                <c:pt idx="119">
                  <c:v>3.8888888888888888</c:v>
                </c:pt>
                <c:pt idx="120">
                  <c:v>3.8888888888888888</c:v>
                </c:pt>
                <c:pt idx="121">
                  <c:v>4</c:v>
                </c:pt>
                <c:pt idx="122">
                  <c:v>3.5555555555555554</c:v>
                </c:pt>
                <c:pt idx="123">
                  <c:v>3.4444444444444446</c:v>
                </c:pt>
                <c:pt idx="124">
                  <c:v>0.22222222222222221</c:v>
                </c:pt>
                <c:pt idx="125">
                  <c:v>4.4444444444444446</c:v>
                </c:pt>
                <c:pt idx="126">
                  <c:v>3.3333333333333335</c:v>
                </c:pt>
                <c:pt idx="127">
                  <c:v>3.1111111111111112</c:v>
                </c:pt>
                <c:pt idx="128">
                  <c:v>4.333333333333333</c:v>
                </c:pt>
                <c:pt idx="129">
                  <c:v>3.2222222222222223</c:v>
                </c:pt>
                <c:pt idx="130">
                  <c:v>4.666666666666667</c:v>
                </c:pt>
                <c:pt idx="131">
                  <c:v>4.666666666666667</c:v>
                </c:pt>
                <c:pt idx="132">
                  <c:v>2.5555555555555554</c:v>
                </c:pt>
                <c:pt idx="133">
                  <c:v>4.2222222222222223</c:v>
                </c:pt>
                <c:pt idx="134">
                  <c:v>4.2222222222222223</c:v>
                </c:pt>
                <c:pt idx="135">
                  <c:v>0.44444444444444442</c:v>
                </c:pt>
                <c:pt idx="136">
                  <c:v>3</c:v>
                </c:pt>
                <c:pt idx="137">
                  <c:v>3.8888888888888888</c:v>
                </c:pt>
              </c:numCache>
            </c:numRef>
          </c:xVal>
          <c:yVal>
            <c:numRef>
              <c:f>OAM!$AY$3:$AY$140</c:f>
              <c:numCache>
                <c:formatCode>General</c:formatCode>
                <c:ptCount val="138"/>
                <c:pt idx="0">
                  <c:v>995.2</c:v>
                </c:pt>
                <c:pt idx="1">
                  <c:v>970.7</c:v>
                </c:pt>
                <c:pt idx="2">
                  <c:v>1014.8</c:v>
                </c:pt>
                <c:pt idx="3">
                  <c:v>1019.7</c:v>
                </c:pt>
                <c:pt idx="4">
                  <c:v>1072.5999999999999</c:v>
                </c:pt>
                <c:pt idx="5">
                  <c:v>915.8</c:v>
                </c:pt>
                <c:pt idx="6">
                  <c:v>910.9</c:v>
                </c:pt>
                <c:pt idx="7">
                  <c:v>1044.2</c:v>
                </c:pt>
                <c:pt idx="8">
                  <c:v>1055</c:v>
                </c:pt>
                <c:pt idx="9">
                  <c:v>963.8</c:v>
                </c:pt>
                <c:pt idx="10">
                  <c:v>1044.2</c:v>
                </c:pt>
                <c:pt idx="11">
                  <c:v>891.3</c:v>
                </c:pt>
                <c:pt idx="12">
                  <c:v>1048.0999999999999</c:v>
                </c:pt>
                <c:pt idx="13">
                  <c:v>1061.8</c:v>
                </c:pt>
                <c:pt idx="14">
                  <c:v>1067.7</c:v>
                </c:pt>
                <c:pt idx="15">
                  <c:v>1044.2</c:v>
                </c:pt>
                <c:pt idx="16">
                  <c:v>1077.5</c:v>
                </c:pt>
                <c:pt idx="17">
                  <c:v>1050.0999999999999</c:v>
                </c:pt>
                <c:pt idx="18">
                  <c:v>935.4</c:v>
                </c:pt>
                <c:pt idx="19">
                  <c:v>880.5</c:v>
                </c:pt>
                <c:pt idx="20">
                  <c:v>935.4</c:v>
                </c:pt>
                <c:pt idx="21">
                  <c:v>1005</c:v>
                </c:pt>
                <c:pt idx="22">
                  <c:v>908.9</c:v>
                </c:pt>
                <c:pt idx="23">
                  <c:v>907</c:v>
                </c:pt>
                <c:pt idx="24">
                  <c:v>1068.7</c:v>
                </c:pt>
                <c:pt idx="25">
                  <c:v>938.3</c:v>
                </c:pt>
                <c:pt idx="26">
                  <c:v>1070.5999999999999</c:v>
                </c:pt>
                <c:pt idx="27">
                  <c:v>1037.3</c:v>
                </c:pt>
                <c:pt idx="28">
                  <c:v>1053</c:v>
                </c:pt>
                <c:pt idx="29">
                  <c:v>1061.8</c:v>
                </c:pt>
                <c:pt idx="30">
                  <c:v>934.9</c:v>
                </c:pt>
                <c:pt idx="31">
                  <c:v>1052</c:v>
                </c:pt>
                <c:pt idx="32">
                  <c:v>976.1</c:v>
                </c:pt>
                <c:pt idx="33">
                  <c:v>1050.0999999999999</c:v>
                </c:pt>
                <c:pt idx="34">
                  <c:v>1004</c:v>
                </c:pt>
                <c:pt idx="35">
                  <c:v>917.8</c:v>
                </c:pt>
                <c:pt idx="36">
                  <c:v>1058.9000000000001</c:v>
                </c:pt>
                <c:pt idx="37">
                  <c:v>908.9</c:v>
                </c:pt>
                <c:pt idx="38">
                  <c:v>952.6</c:v>
                </c:pt>
                <c:pt idx="39">
                  <c:v>1049.0999999999999</c:v>
                </c:pt>
                <c:pt idx="40">
                  <c:v>892.3</c:v>
                </c:pt>
                <c:pt idx="41">
                  <c:v>1045.2</c:v>
                </c:pt>
                <c:pt idx="42">
                  <c:v>1036.3</c:v>
                </c:pt>
                <c:pt idx="43">
                  <c:v>972.2</c:v>
                </c:pt>
                <c:pt idx="44">
                  <c:v>1035.4000000000001</c:v>
                </c:pt>
                <c:pt idx="45">
                  <c:v>894.7</c:v>
                </c:pt>
                <c:pt idx="46">
                  <c:v>886.9</c:v>
                </c:pt>
                <c:pt idx="47">
                  <c:v>965.8</c:v>
                </c:pt>
                <c:pt idx="48">
                  <c:v>996.2</c:v>
                </c:pt>
                <c:pt idx="49">
                  <c:v>1067.7</c:v>
                </c:pt>
                <c:pt idx="50">
                  <c:v>986.4</c:v>
                </c:pt>
                <c:pt idx="51">
                  <c:v>965.8</c:v>
                </c:pt>
                <c:pt idx="52">
                  <c:v>886.4</c:v>
                </c:pt>
                <c:pt idx="53">
                  <c:v>1057.9000000000001</c:v>
                </c:pt>
                <c:pt idx="54">
                  <c:v>1077.5</c:v>
                </c:pt>
                <c:pt idx="55">
                  <c:v>887.4</c:v>
                </c:pt>
                <c:pt idx="56">
                  <c:v>1055.9000000000001</c:v>
                </c:pt>
                <c:pt idx="57">
                  <c:v>1028.5</c:v>
                </c:pt>
                <c:pt idx="58">
                  <c:v>948.1</c:v>
                </c:pt>
                <c:pt idx="59">
                  <c:v>963.8</c:v>
                </c:pt>
                <c:pt idx="60">
                  <c:v>893.8</c:v>
                </c:pt>
                <c:pt idx="61">
                  <c:v>880.5</c:v>
                </c:pt>
                <c:pt idx="62">
                  <c:v>1067.7</c:v>
                </c:pt>
                <c:pt idx="63">
                  <c:v>886.4</c:v>
                </c:pt>
                <c:pt idx="64">
                  <c:v>1019.7</c:v>
                </c:pt>
                <c:pt idx="65">
                  <c:v>959.9</c:v>
                </c:pt>
                <c:pt idx="66">
                  <c:v>1068.7</c:v>
                </c:pt>
                <c:pt idx="67">
                  <c:v>1006</c:v>
                </c:pt>
                <c:pt idx="68">
                  <c:v>1064.8</c:v>
                </c:pt>
                <c:pt idx="69">
                  <c:v>942.8</c:v>
                </c:pt>
                <c:pt idx="70">
                  <c:v>1033.4000000000001</c:v>
                </c:pt>
                <c:pt idx="71">
                  <c:v>1055.9000000000001</c:v>
                </c:pt>
                <c:pt idx="72">
                  <c:v>1061.8</c:v>
                </c:pt>
                <c:pt idx="73">
                  <c:v>1017.7</c:v>
                </c:pt>
                <c:pt idx="74">
                  <c:v>1028.5</c:v>
                </c:pt>
                <c:pt idx="75">
                  <c:v>989.3</c:v>
                </c:pt>
                <c:pt idx="76">
                  <c:v>977.5</c:v>
                </c:pt>
                <c:pt idx="77">
                  <c:v>886.4</c:v>
                </c:pt>
                <c:pt idx="78">
                  <c:v>993.2</c:v>
                </c:pt>
                <c:pt idx="79">
                  <c:v>1043.2</c:v>
                </c:pt>
                <c:pt idx="80">
                  <c:v>1047.0999999999999</c:v>
                </c:pt>
                <c:pt idx="81">
                  <c:v>1058.9000000000001</c:v>
                </c:pt>
                <c:pt idx="82">
                  <c:v>1047.0999999999999</c:v>
                </c:pt>
                <c:pt idx="83">
                  <c:v>1014.8</c:v>
                </c:pt>
                <c:pt idx="84">
                  <c:v>1055.9000000000001</c:v>
                </c:pt>
                <c:pt idx="85">
                  <c:v>948.6</c:v>
                </c:pt>
                <c:pt idx="86">
                  <c:v>892.3</c:v>
                </c:pt>
                <c:pt idx="87">
                  <c:v>1079.5</c:v>
                </c:pt>
                <c:pt idx="88">
                  <c:v>1074.5999999999999</c:v>
                </c:pt>
                <c:pt idx="89">
                  <c:v>918.3</c:v>
                </c:pt>
                <c:pt idx="90">
                  <c:v>1055.9000000000001</c:v>
                </c:pt>
                <c:pt idx="91">
                  <c:v>908.9</c:v>
                </c:pt>
                <c:pt idx="92">
                  <c:v>903.1</c:v>
                </c:pt>
                <c:pt idx="93">
                  <c:v>1050.0999999999999</c:v>
                </c:pt>
                <c:pt idx="94">
                  <c:v>1069.7</c:v>
                </c:pt>
                <c:pt idx="95">
                  <c:v>1055.9000000000001</c:v>
                </c:pt>
                <c:pt idx="96">
                  <c:v>950.1</c:v>
                </c:pt>
                <c:pt idx="97">
                  <c:v>958.9</c:v>
                </c:pt>
                <c:pt idx="98">
                  <c:v>1077.5</c:v>
                </c:pt>
                <c:pt idx="99">
                  <c:v>908.9</c:v>
                </c:pt>
                <c:pt idx="100">
                  <c:v>1023.6</c:v>
                </c:pt>
                <c:pt idx="101">
                  <c:v>1055.9000000000001</c:v>
                </c:pt>
                <c:pt idx="102">
                  <c:v>908.9</c:v>
                </c:pt>
                <c:pt idx="103">
                  <c:v>1059.9000000000001</c:v>
                </c:pt>
                <c:pt idx="104">
                  <c:v>978.5</c:v>
                </c:pt>
                <c:pt idx="105">
                  <c:v>993.2</c:v>
                </c:pt>
                <c:pt idx="106">
                  <c:v>925.6</c:v>
                </c:pt>
                <c:pt idx="107">
                  <c:v>1065.7</c:v>
                </c:pt>
                <c:pt idx="108">
                  <c:v>1069.7</c:v>
                </c:pt>
                <c:pt idx="109">
                  <c:v>968.7</c:v>
                </c:pt>
                <c:pt idx="110">
                  <c:v>880.5</c:v>
                </c:pt>
                <c:pt idx="111">
                  <c:v>908</c:v>
                </c:pt>
                <c:pt idx="112">
                  <c:v>1066.7</c:v>
                </c:pt>
                <c:pt idx="113">
                  <c:v>1065.7</c:v>
                </c:pt>
                <c:pt idx="114">
                  <c:v>907</c:v>
                </c:pt>
                <c:pt idx="115">
                  <c:v>1030.5</c:v>
                </c:pt>
                <c:pt idx="116">
                  <c:v>900.6</c:v>
                </c:pt>
                <c:pt idx="117">
                  <c:v>1051</c:v>
                </c:pt>
                <c:pt idx="118">
                  <c:v>982.9</c:v>
                </c:pt>
                <c:pt idx="119">
                  <c:v>1058.9000000000001</c:v>
                </c:pt>
                <c:pt idx="120">
                  <c:v>1058.9000000000001</c:v>
                </c:pt>
                <c:pt idx="121">
                  <c:v>1045.2</c:v>
                </c:pt>
                <c:pt idx="122">
                  <c:v>1054</c:v>
                </c:pt>
                <c:pt idx="123">
                  <c:v>1050.0999999999999</c:v>
                </c:pt>
                <c:pt idx="124">
                  <c:v>904</c:v>
                </c:pt>
                <c:pt idx="125">
                  <c:v>1068.7</c:v>
                </c:pt>
                <c:pt idx="126">
                  <c:v>1049.0999999999999</c:v>
                </c:pt>
                <c:pt idx="127">
                  <c:v>1025.5999999999999</c:v>
                </c:pt>
                <c:pt idx="128">
                  <c:v>1067.7</c:v>
                </c:pt>
                <c:pt idx="129">
                  <c:v>1029.5</c:v>
                </c:pt>
                <c:pt idx="130">
                  <c:v>1073.5999999999999</c:v>
                </c:pt>
                <c:pt idx="131">
                  <c:v>1072.5999999999999</c:v>
                </c:pt>
                <c:pt idx="132">
                  <c:v>979.5</c:v>
                </c:pt>
                <c:pt idx="133">
                  <c:v>1048.0999999999999</c:v>
                </c:pt>
                <c:pt idx="134">
                  <c:v>1064.8</c:v>
                </c:pt>
                <c:pt idx="135">
                  <c:v>908</c:v>
                </c:pt>
                <c:pt idx="136">
                  <c:v>1040.3</c:v>
                </c:pt>
                <c:pt idx="137">
                  <c:v>1058.9000000000001</c:v>
                </c:pt>
              </c:numCache>
            </c:numRef>
          </c:yVal>
          <c:smooth val="0"/>
        </c:ser>
        <c:dLbls>
          <c:showLegendKey val="0"/>
          <c:showVal val="0"/>
          <c:showCatName val="0"/>
          <c:showSerName val="0"/>
          <c:showPercent val="0"/>
          <c:showBubbleSize val="0"/>
        </c:dLbls>
        <c:axId val="189622144"/>
        <c:axId val="189904768"/>
      </c:scatterChart>
      <c:valAx>
        <c:axId val="189622144"/>
        <c:scaling>
          <c:orientation val="minMax"/>
          <c:max val="5"/>
          <c:min val="0"/>
        </c:scaling>
        <c:delete val="0"/>
        <c:axPos val="b"/>
        <c:numFmt formatCode="0.00" sourceLinked="1"/>
        <c:majorTickMark val="out"/>
        <c:minorTickMark val="none"/>
        <c:tickLblPos val="nextTo"/>
        <c:crossAx val="189904768"/>
        <c:crosses val="autoZero"/>
        <c:crossBetween val="midCat"/>
      </c:valAx>
      <c:valAx>
        <c:axId val="189904768"/>
        <c:scaling>
          <c:orientation val="minMax"/>
          <c:max val="1150"/>
          <c:min val="850"/>
        </c:scaling>
        <c:delete val="0"/>
        <c:axPos val="l"/>
        <c:majorGridlines/>
        <c:numFmt formatCode="General" sourceLinked="1"/>
        <c:majorTickMark val="out"/>
        <c:minorTickMark val="none"/>
        <c:tickLblPos val="nextTo"/>
        <c:crossAx val="189622144"/>
        <c:crosses val="autoZero"/>
        <c:crossBetween val="midCat"/>
      </c:valAx>
    </c:plotArea>
    <c:plotVisOnly val="1"/>
    <c:dispBlanksAs val="gap"/>
    <c:showDLblsOverMax val="0"/>
  </c:chart>
  <c:txPr>
    <a:bodyPr/>
    <a:lstStyle/>
    <a:p>
      <a:pPr>
        <a:defRPr>
          <a:latin typeface="+mj-lt"/>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A COCO-Y0 pontszám eloszlása</a:t>
            </a:r>
          </a:p>
        </c:rich>
      </c:tx>
      <c:overlay val="0"/>
    </c:title>
    <c:autoTitleDeleted val="0"/>
    <c:plotArea>
      <c:layout/>
      <c:scatterChart>
        <c:scatterStyle val="smoothMarker"/>
        <c:varyColors val="0"/>
        <c:ser>
          <c:idx val="0"/>
          <c:order val="0"/>
          <c:spPr>
            <a:ln w="38100"/>
          </c:spPr>
          <c:xVal>
            <c:numRef>
              <c:f>result!$AE$157:$AE$169</c:f>
              <c:numCache>
                <c:formatCode>General</c:formatCode>
                <c:ptCount val="13"/>
                <c:pt idx="0">
                  <c:v>850</c:v>
                </c:pt>
                <c:pt idx="1">
                  <c:v>875</c:v>
                </c:pt>
                <c:pt idx="2">
                  <c:v>900</c:v>
                </c:pt>
                <c:pt idx="3">
                  <c:v>925</c:v>
                </c:pt>
                <c:pt idx="4">
                  <c:v>950</c:v>
                </c:pt>
                <c:pt idx="5">
                  <c:v>975</c:v>
                </c:pt>
                <c:pt idx="6">
                  <c:v>1000</c:v>
                </c:pt>
                <c:pt idx="7">
                  <c:v>1025</c:v>
                </c:pt>
                <c:pt idx="8">
                  <c:v>1050</c:v>
                </c:pt>
                <c:pt idx="9">
                  <c:v>1075</c:v>
                </c:pt>
                <c:pt idx="10">
                  <c:v>1100</c:v>
                </c:pt>
                <c:pt idx="11">
                  <c:v>1125</c:v>
                </c:pt>
                <c:pt idx="12">
                  <c:v>1150</c:v>
                </c:pt>
              </c:numCache>
            </c:numRef>
          </c:xVal>
          <c:yVal>
            <c:numRef>
              <c:f>result!$AF$157:$AF$169</c:f>
              <c:numCache>
                <c:formatCode>General</c:formatCode>
                <c:ptCount val="13"/>
                <c:pt idx="0">
                  <c:v>0</c:v>
                </c:pt>
                <c:pt idx="1">
                  <c:v>0</c:v>
                </c:pt>
                <c:pt idx="2">
                  <c:v>13</c:v>
                </c:pt>
                <c:pt idx="3">
                  <c:v>16</c:v>
                </c:pt>
                <c:pt idx="4">
                  <c:v>8</c:v>
                </c:pt>
                <c:pt idx="5">
                  <c:v>11</c:v>
                </c:pt>
                <c:pt idx="6">
                  <c:v>11</c:v>
                </c:pt>
                <c:pt idx="7">
                  <c:v>9</c:v>
                </c:pt>
                <c:pt idx="8">
                  <c:v>22</c:v>
                </c:pt>
                <c:pt idx="9">
                  <c:v>44</c:v>
                </c:pt>
                <c:pt idx="10">
                  <c:v>4</c:v>
                </c:pt>
                <c:pt idx="11">
                  <c:v>0</c:v>
                </c:pt>
                <c:pt idx="12">
                  <c:v>0</c:v>
                </c:pt>
              </c:numCache>
            </c:numRef>
          </c:yVal>
          <c:smooth val="1"/>
        </c:ser>
        <c:dLbls>
          <c:showLegendKey val="0"/>
          <c:showVal val="0"/>
          <c:showCatName val="0"/>
          <c:showSerName val="0"/>
          <c:showPercent val="0"/>
          <c:showBubbleSize val="0"/>
        </c:dLbls>
        <c:axId val="191067264"/>
        <c:axId val="191068800"/>
      </c:scatterChart>
      <c:valAx>
        <c:axId val="191067264"/>
        <c:scaling>
          <c:orientation val="minMax"/>
          <c:max val="1150"/>
          <c:min val="850"/>
        </c:scaling>
        <c:delete val="0"/>
        <c:axPos val="b"/>
        <c:numFmt formatCode="General" sourceLinked="1"/>
        <c:majorTickMark val="out"/>
        <c:minorTickMark val="none"/>
        <c:tickLblPos val="nextTo"/>
        <c:crossAx val="191068800"/>
        <c:crosses val="autoZero"/>
        <c:crossBetween val="midCat"/>
      </c:valAx>
      <c:valAx>
        <c:axId val="191068800"/>
        <c:scaling>
          <c:orientation val="minMax"/>
          <c:max val="45"/>
          <c:min val="0"/>
        </c:scaling>
        <c:delete val="0"/>
        <c:axPos val="l"/>
        <c:majorGridlines/>
        <c:numFmt formatCode="General" sourceLinked="1"/>
        <c:majorTickMark val="out"/>
        <c:minorTickMark val="none"/>
        <c:tickLblPos val="nextTo"/>
        <c:crossAx val="191067264"/>
        <c:crosses val="autoZero"/>
        <c:crossBetween val="midCat"/>
      </c:valAx>
    </c:plotArea>
    <c:plotVisOnly val="1"/>
    <c:dispBlanksAs val="gap"/>
    <c:showDLblsOverMax val="0"/>
  </c:chart>
  <c:txPr>
    <a:bodyPr/>
    <a:lstStyle/>
    <a:p>
      <a:pPr>
        <a:defRPr>
          <a:latin typeface="+mj-lt"/>
        </a:defRPr>
      </a:pPr>
      <a:endParaRPr lang="hu-H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"Emelt"</c:v>
          </c:tx>
          <c:spPr>
            <a:ln w="19050">
              <a:noFill/>
            </a:ln>
          </c:spPr>
          <c:marker>
            <c:symbol val="diamond"/>
            <c:size val="7"/>
          </c:marker>
          <c:trendline>
            <c:spPr>
              <a:ln w="38100">
                <a:solidFill>
                  <a:schemeClr val="accent1">
                    <a:lumMod val="75000"/>
                  </a:schemeClr>
                </a:solidFill>
              </a:ln>
            </c:spPr>
            <c:trendlineType val="linear"/>
            <c:dispRSqr val="1"/>
            <c:dispEq val="1"/>
            <c:trendlineLbl>
              <c:layout>
                <c:manualLayout>
                  <c:x val="1.3333159801305828E-2"/>
                  <c:y val="-0.20709167552403057"/>
                </c:manualLayout>
              </c:layout>
              <c:numFmt formatCode="General" sourceLinked="0"/>
            </c:trendlineLbl>
          </c:trendline>
          <c:xVal>
            <c:numRef>
              <c:f>korrelsig!$B$7:$B$103</c:f>
              <c:numCache>
                <c:formatCode>General</c:formatCode>
                <c:ptCount val="97"/>
                <c:pt idx="0">
                  <c:v>55</c:v>
                </c:pt>
                <c:pt idx="1">
                  <c:v>62</c:v>
                </c:pt>
                <c:pt idx="2">
                  <c:v>90</c:v>
                </c:pt>
                <c:pt idx="3">
                  <c:v>76</c:v>
                </c:pt>
                <c:pt idx="4">
                  <c:v>80</c:v>
                </c:pt>
                <c:pt idx="5">
                  <c:v>70</c:v>
                </c:pt>
                <c:pt idx="6">
                  <c:v>52</c:v>
                </c:pt>
                <c:pt idx="7">
                  <c:v>70</c:v>
                </c:pt>
                <c:pt idx="8">
                  <c:v>50</c:v>
                </c:pt>
                <c:pt idx="9">
                  <c:v>98</c:v>
                </c:pt>
                <c:pt idx="10">
                  <c:v>78</c:v>
                </c:pt>
                <c:pt idx="11">
                  <c:v>92</c:v>
                </c:pt>
                <c:pt idx="12">
                  <c:v>55</c:v>
                </c:pt>
                <c:pt idx="13">
                  <c:v>89</c:v>
                </c:pt>
                <c:pt idx="14">
                  <c:v>95</c:v>
                </c:pt>
                <c:pt idx="15">
                  <c:v>93</c:v>
                </c:pt>
                <c:pt idx="16">
                  <c:v>48</c:v>
                </c:pt>
                <c:pt idx="17">
                  <c:v>87</c:v>
                </c:pt>
                <c:pt idx="18">
                  <c:v>89</c:v>
                </c:pt>
                <c:pt idx="19">
                  <c:v>74</c:v>
                </c:pt>
                <c:pt idx="20">
                  <c:v>88</c:v>
                </c:pt>
                <c:pt idx="21">
                  <c:v>73</c:v>
                </c:pt>
                <c:pt idx="22">
                  <c:v>51</c:v>
                </c:pt>
                <c:pt idx="23">
                  <c:v>96</c:v>
                </c:pt>
                <c:pt idx="24">
                  <c:v>100</c:v>
                </c:pt>
                <c:pt idx="25">
                  <c:v>89</c:v>
                </c:pt>
                <c:pt idx="26">
                  <c:v>92</c:v>
                </c:pt>
                <c:pt idx="27">
                  <c:v>90</c:v>
                </c:pt>
                <c:pt idx="28">
                  <c:v>80</c:v>
                </c:pt>
                <c:pt idx="29">
                  <c:v>51</c:v>
                </c:pt>
                <c:pt idx="30">
                  <c:v>50</c:v>
                </c:pt>
                <c:pt idx="31">
                  <c:v>76</c:v>
                </c:pt>
                <c:pt idx="32">
                  <c:v>54</c:v>
                </c:pt>
                <c:pt idx="33">
                  <c:v>85</c:v>
                </c:pt>
                <c:pt idx="34">
                  <c:v>94</c:v>
                </c:pt>
                <c:pt idx="35">
                  <c:v>78</c:v>
                </c:pt>
                <c:pt idx="36">
                  <c:v>86</c:v>
                </c:pt>
                <c:pt idx="37">
                  <c:v>98</c:v>
                </c:pt>
                <c:pt idx="38">
                  <c:v>73</c:v>
                </c:pt>
                <c:pt idx="39">
                  <c:v>40</c:v>
                </c:pt>
                <c:pt idx="40">
                  <c:v>90</c:v>
                </c:pt>
                <c:pt idx="41">
                  <c:v>91</c:v>
                </c:pt>
                <c:pt idx="42">
                  <c:v>68</c:v>
                </c:pt>
                <c:pt idx="43">
                  <c:v>80</c:v>
                </c:pt>
                <c:pt idx="44">
                  <c:v>82</c:v>
                </c:pt>
                <c:pt idx="45">
                  <c:v>56</c:v>
                </c:pt>
                <c:pt idx="46">
                  <c:v>64</c:v>
                </c:pt>
                <c:pt idx="47">
                  <c:v>92</c:v>
                </c:pt>
                <c:pt idx="48">
                  <c:v>92</c:v>
                </c:pt>
                <c:pt idx="49">
                  <c:v>59</c:v>
                </c:pt>
                <c:pt idx="50">
                  <c:v>94</c:v>
                </c:pt>
                <c:pt idx="51">
                  <c:v>70</c:v>
                </c:pt>
                <c:pt idx="52">
                  <c:v>94</c:v>
                </c:pt>
                <c:pt idx="53">
                  <c:v>75</c:v>
                </c:pt>
                <c:pt idx="54">
                  <c:v>47</c:v>
                </c:pt>
                <c:pt idx="55">
                  <c:v>96</c:v>
                </c:pt>
                <c:pt idx="56">
                  <c:v>83</c:v>
                </c:pt>
                <c:pt idx="57">
                  <c:v>96</c:v>
                </c:pt>
                <c:pt idx="58">
                  <c:v>96</c:v>
                </c:pt>
                <c:pt idx="59">
                  <c:v>98</c:v>
                </c:pt>
                <c:pt idx="60">
                  <c:v>93</c:v>
                </c:pt>
                <c:pt idx="61">
                  <c:v>95</c:v>
                </c:pt>
                <c:pt idx="62">
                  <c:v>98</c:v>
                </c:pt>
                <c:pt idx="63">
                  <c:v>87</c:v>
                </c:pt>
                <c:pt idx="64">
                  <c:v>81</c:v>
                </c:pt>
                <c:pt idx="65">
                  <c:v>92</c:v>
                </c:pt>
                <c:pt idx="66">
                  <c:v>93</c:v>
                </c:pt>
                <c:pt idx="67">
                  <c:v>92</c:v>
                </c:pt>
                <c:pt idx="68">
                  <c:v>76</c:v>
                </c:pt>
                <c:pt idx="69">
                  <c:v>50</c:v>
                </c:pt>
                <c:pt idx="70">
                  <c:v>92</c:v>
                </c:pt>
                <c:pt idx="71">
                  <c:v>63</c:v>
                </c:pt>
                <c:pt idx="72">
                  <c:v>67</c:v>
                </c:pt>
                <c:pt idx="73">
                  <c:v>98</c:v>
                </c:pt>
                <c:pt idx="74">
                  <c:v>89</c:v>
                </c:pt>
                <c:pt idx="75">
                  <c:v>73</c:v>
                </c:pt>
                <c:pt idx="76">
                  <c:v>91</c:v>
                </c:pt>
                <c:pt idx="77">
                  <c:v>94</c:v>
                </c:pt>
                <c:pt idx="78">
                  <c:v>82</c:v>
                </c:pt>
                <c:pt idx="79">
                  <c:v>62</c:v>
                </c:pt>
                <c:pt idx="80">
                  <c:v>70</c:v>
                </c:pt>
                <c:pt idx="81">
                  <c:v>92</c:v>
                </c:pt>
                <c:pt idx="82">
                  <c:v>80</c:v>
                </c:pt>
                <c:pt idx="83">
                  <c:v>92</c:v>
                </c:pt>
                <c:pt idx="84">
                  <c:v>66</c:v>
                </c:pt>
                <c:pt idx="85">
                  <c:v>66</c:v>
                </c:pt>
                <c:pt idx="86">
                  <c:v>86</c:v>
                </c:pt>
                <c:pt idx="87">
                  <c:v>68</c:v>
                </c:pt>
                <c:pt idx="88">
                  <c:v>86</c:v>
                </c:pt>
                <c:pt idx="89">
                  <c:v>86</c:v>
                </c:pt>
                <c:pt idx="90">
                  <c:v>57</c:v>
                </c:pt>
                <c:pt idx="91">
                  <c:v>98</c:v>
                </c:pt>
                <c:pt idx="92">
                  <c:v>94</c:v>
                </c:pt>
                <c:pt idx="93">
                  <c:v>56</c:v>
                </c:pt>
                <c:pt idx="94">
                  <c:v>64</c:v>
                </c:pt>
                <c:pt idx="95">
                  <c:v>84</c:v>
                </c:pt>
                <c:pt idx="96">
                  <c:v>98</c:v>
                </c:pt>
              </c:numCache>
            </c:numRef>
          </c:xVal>
          <c:yVal>
            <c:numRef>
              <c:f>korrelsig!$D$7:$D$103</c:f>
              <c:numCache>
                <c:formatCode>General</c:formatCode>
                <c:ptCount val="97"/>
                <c:pt idx="0">
                  <c:v>970.7</c:v>
                </c:pt>
                <c:pt idx="1">
                  <c:v>1019.7</c:v>
                </c:pt>
                <c:pt idx="2">
                  <c:v>1072.5999999999999</c:v>
                </c:pt>
                <c:pt idx="3">
                  <c:v>1044.2</c:v>
                </c:pt>
                <c:pt idx="4">
                  <c:v>963.8</c:v>
                </c:pt>
                <c:pt idx="5">
                  <c:v>1044.2</c:v>
                </c:pt>
                <c:pt idx="6">
                  <c:v>891.3</c:v>
                </c:pt>
                <c:pt idx="7">
                  <c:v>1048.0999999999999</c:v>
                </c:pt>
                <c:pt idx="8">
                  <c:v>1061.8</c:v>
                </c:pt>
                <c:pt idx="9">
                  <c:v>1067.7</c:v>
                </c:pt>
                <c:pt idx="10">
                  <c:v>1044.2</c:v>
                </c:pt>
                <c:pt idx="11">
                  <c:v>1077.5</c:v>
                </c:pt>
                <c:pt idx="12">
                  <c:v>1050.0999999999999</c:v>
                </c:pt>
                <c:pt idx="13">
                  <c:v>935.4</c:v>
                </c:pt>
                <c:pt idx="14">
                  <c:v>880.5</c:v>
                </c:pt>
                <c:pt idx="15">
                  <c:v>935.4</c:v>
                </c:pt>
                <c:pt idx="16">
                  <c:v>907</c:v>
                </c:pt>
                <c:pt idx="17">
                  <c:v>1068.7</c:v>
                </c:pt>
                <c:pt idx="18">
                  <c:v>1070.5999999999999</c:v>
                </c:pt>
                <c:pt idx="19">
                  <c:v>1037.3</c:v>
                </c:pt>
                <c:pt idx="20">
                  <c:v>1053</c:v>
                </c:pt>
                <c:pt idx="21">
                  <c:v>1061.8</c:v>
                </c:pt>
                <c:pt idx="22">
                  <c:v>1052</c:v>
                </c:pt>
                <c:pt idx="23">
                  <c:v>1050.0999999999999</c:v>
                </c:pt>
                <c:pt idx="24">
                  <c:v>917.8</c:v>
                </c:pt>
                <c:pt idx="25">
                  <c:v>1058.9000000000001</c:v>
                </c:pt>
                <c:pt idx="26">
                  <c:v>908.9</c:v>
                </c:pt>
                <c:pt idx="27">
                  <c:v>1049.0999999999999</c:v>
                </c:pt>
                <c:pt idx="28">
                  <c:v>892.3</c:v>
                </c:pt>
                <c:pt idx="29">
                  <c:v>1045.2</c:v>
                </c:pt>
                <c:pt idx="30">
                  <c:v>972.2</c:v>
                </c:pt>
                <c:pt idx="31">
                  <c:v>1035.4000000000001</c:v>
                </c:pt>
                <c:pt idx="32">
                  <c:v>965.8</c:v>
                </c:pt>
                <c:pt idx="33">
                  <c:v>996.2</c:v>
                </c:pt>
                <c:pt idx="34">
                  <c:v>1067.7</c:v>
                </c:pt>
                <c:pt idx="35">
                  <c:v>965.8</c:v>
                </c:pt>
                <c:pt idx="36">
                  <c:v>1057.9000000000001</c:v>
                </c:pt>
                <c:pt idx="37">
                  <c:v>1077.5</c:v>
                </c:pt>
                <c:pt idx="38">
                  <c:v>1055.9000000000001</c:v>
                </c:pt>
                <c:pt idx="39">
                  <c:v>963.8</c:v>
                </c:pt>
                <c:pt idx="40">
                  <c:v>1067.7</c:v>
                </c:pt>
                <c:pt idx="41">
                  <c:v>1019.7</c:v>
                </c:pt>
                <c:pt idx="42">
                  <c:v>959.9</c:v>
                </c:pt>
                <c:pt idx="43">
                  <c:v>1068.7</c:v>
                </c:pt>
                <c:pt idx="44">
                  <c:v>1064.8</c:v>
                </c:pt>
                <c:pt idx="45">
                  <c:v>942.8</c:v>
                </c:pt>
                <c:pt idx="46">
                  <c:v>1033.4000000000001</c:v>
                </c:pt>
                <c:pt idx="47">
                  <c:v>1055.9000000000001</c:v>
                </c:pt>
                <c:pt idx="48">
                  <c:v>1061.8</c:v>
                </c:pt>
                <c:pt idx="49">
                  <c:v>1017.7</c:v>
                </c:pt>
                <c:pt idx="50">
                  <c:v>1028.5</c:v>
                </c:pt>
                <c:pt idx="51">
                  <c:v>977.5</c:v>
                </c:pt>
                <c:pt idx="52">
                  <c:v>1058.9000000000001</c:v>
                </c:pt>
                <c:pt idx="53">
                  <c:v>1047.0999999999999</c:v>
                </c:pt>
                <c:pt idx="54">
                  <c:v>1014.8</c:v>
                </c:pt>
                <c:pt idx="55">
                  <c:v>1055.9000000000001</c:v>
                </c:pt>
                <c:pt idx="56">
                  <c:v>948.6</c:v>
                </c:pt>
                <c:pt idx="57">
                  <c:v>1079.5</c:v>
                </c:pt>
                <c:pt idx="58">
                  <c:v>1074.5999999999999</c:v>
                </c:pt>
                <c:pt idx="59">
                  <c:v>1055.9000000000001</c:v>
                </c:pt>
                <c:pt idx="60">
                  <c:v>908.9</c:v>
                </c:pt>
                <c:pt idx="61">
                  <c:v>1050.0999999999999</c:v>
                </c:pt>
                <c:pt idx="62">
                  <c:v>1069.7</c:v>
                </c:pt>
                <c:pt idx="63">
                  <c:v>1055.9000000000001</c:v>
                </c:pt>
                <c:pt idx="64">
                  <c:v>950.1</c:v>
                </c:pt>
                <c:pt idx="65">
                  <c:v>1077.5</c:v>
                </c:pt>
                <c:pt idx="66">
                  <c:v>908.9</c:v>
                </c:pt>
                <c:pt idx="67">
                  <c:v>1023.6</c:v>
                </c:pt>
                <c:pt idx="68">
                  <c:v>1055.9000000000001</c:v>
                </c:pt>
                <c:pt idx="69">
                  <c:v>908.9</c:v>
                </c:pt>
                <c:pt idx="70">
                  <c:v>1059.9000000000001</c:v>
                </c:pt>
                <c:pt idx="71">
                  <c:v>993.2</c:v>
                </c:pt>
                <c:pt idx="72">
                  <c:v>1065.7</c:v>
                </c:pt>
                <c:pt idx="73">
                  <c:v>1069.7</c:v>
                </c:pt>
                <c:pt idx="74">
                  <c:v>968.7</c:v>
                </c:pt>
                <c:pt idx="75">
                  <c:v>1066.7</c:v>
                </c:pt>
                <c:pt idx="76">
                  <c:v>1065.7</c:v>
                </c:pt>
                <c:pt idx="77">
                  <c:v>907</c:v>
                </c:pt>
                <c:pt idx="78">
                  <c:v>1030.5</c:v>
                </c:pt>
                <c:pt idx="79">
                  <c:v>982.9</c:v>
                </c:pt>
                <c:pt idx="80">
                  <c:v>1058.9000000000001</c:v>
                </c:pt>
                <c:pt idx="81">
                  <c:v>1058.9000000000001</c:v>
                </c:pt>
                <c:pt idx="82">
                  <c:v>1045.2</c:v>
                </c:pt>
                <c:pt idx="83">
                  <c:v>1054</c:v>
                </c:pt>
                <c:pt idx="84">
                  <c:v>1050.0999999999999</c:v>
                </c:pt>
                <c:pt idx="85">
                  <c:v>904</c:v>
                </c:pt>
                <c:pt idx="86">
                  <c:v>1068.7</c:v>
                </c:pt>
                <c:pt idx="87">
                  <c:v>1049.0999999999999</c:v>
                </c:pt>
                <c:pt idx="88">
                  <c:v>1025.5999999999999</c:v>
                </c:pt>
                <c:pt idx="89">
                  <c:v>1067.7</c:v>
                </c:pt>
                <c:pt idx="90">
                  <c:v>1029.5</c:v>
                </c:pt>
                <c:pt idx="91">
                  <c:v>1073.5999999999999</c:v>
                </c:pt>
                <c:pt idx="92">
                  <c:v>1072.5999999999999</c:v>
                </c:pt>
                <c:pt idx="93">
                  <c:v>979.5</c:v>
                </c:pt>
                <c:pt idx="94">
                  <c:v>1048.0999999999999</c:v>
                </c:pt>
                <c:pt idx="95">
                  <c:v>1064.8</c:v>
                </c:pt>
                <c:pt idx="96">
                  <c:v>1058.9000000000001</c:v>
                </c:pt>
              </c:numCache>
            </c:numRef>
          </c:yVal>
          <c:smooth val="0"/>
        </c:ser>
        <c:ser>
          <c:idx val="1"/>
          <c:order val="1"/>
          <c:tx>
            <c:v>"Közép"</c:v>
          </c:tx>
          <c:spPr>
            <a:ln w="19050">
              <a:noFill/>
            </a:ln>
          </c:spPr>
          <c:marker>
            <c:symbol val="triangle"/>
            <c:size val="7"/>
          </c:marker>
          <c:trendline>
            <c:spPr>
              <a:ln w="38100">
                <a:solidFill>
                  <a:schemeClr val="accent2">
                    <a:lumMod val="75000"/>
                  </a:schemeClr>
                </a:solidFill>
              </a:ln>
            </c:spPr>
            <c:trendlineType val="linear"/>
            <c:dispRSqr val="1"/>
            <c:dispEq val="1"/>
            <c:trendlineLbl>
              <c:layout>
                <c:manualLayout>
                  <c:x val="-0.30869438840806057"/>
                  <c:y val="0.31017866568331853"/>
                </c:manualLayout>
              </c:layout>
              <c:numFmt formatCode="General" sourceLinked="0"/>
            </c:trendlineLbl>
          </c:trendline>
          <c:xVal>
            <c:numRef>
              <c:f>korrelsig!$B$104:$B$135</c:f>
              <c:numCache>
                <c:formatCode>General</c:formatCode>
                <c:ptCount val="32"/>
                <c:pt idx="0">
                  <c:v>99</c:v>
                </c:pt>
                <c:pt idx="1">
                  <c:v>87</c:v>
                </c:pt>
                <c:pt idx="2">
                  <c:v>100</c:v>
                </c:pt>
                <c:pt idx="3">
                  <c:v>84</c:v>
                </c:pt>
                <c:pt idx="4">
                  <c:v>92</c:v>
                </c:pt>
                <c:pt idx="5">
                  <c:v>83</c:v>
                </c:pt>
                <c:pt idx="6">
                  <c:v>86</c:v>
                </c:pt>
                <c:pt idx="7">
                  <c:v>92</c:v>
                </c:pt>
                <c:pt idx="8">
                  <c:v>97</c:v>
                </c:pt>
                <c:pt idx="9">
                  <c:v>95</c:v>
                </c:pt>
                <c:pt idx="10">
                  <c:v>69</c:v>
                </c:pt>
                <c:pt idx="11">
                  <c:v>92</c:v>
                </c:pt>
                <c:pt idx="12">
                  <c:v>98</c:v>
                </c:pt>
                <c:pt idx="13">
                  <c:v>81</c:v>
                </c:pt>
                <c:pt idx="14">
                  <c:v>82</c:v>
                </c:pt>
                <c:pt idx="15">
                  <c:v>97</c:v>
                </c:pt>
                <c:pt idx="16">
                  <c:v>81</c:v>
                </c:pt>
                <c:pt idx="17">
                  <c:v>94</c:v>
                </c:pt>
                <c:pt idx="18">
                  <c:v>92</c:v>
                </c:pt>
                <c:pt idx="19">
                  <c:v>95</c:v>
                </c:pt>
                <c:pt idx="20">
                  <c:v>81</c:v>
                </c:pt>
                <c:pt idx="21">
                  <c:v>82</c:v>
                </c:pt>
                <c:pt idx="22">
                  <c:v>91</c:v>
                </c:pt>
                <c:pt idx="23">
                  <c:v>88</c:v>
                </c:pt>
                <c:pt idx="24">
                  <c:v>86</c:v>
                </c:pt>
                <c:pt idx="25">
                  <c:v>92</c:v>
                </c:pt>
                <c:pt idx="26">
                  <c:v>80</c:v>
                </c:pt>
                <c:pt idx="27">
                  <c:v>96</c:v>
                </c:pt>
                <c:pt idx="28">
                  <c:v>93</c:v>
                </c:pt>
                <c:pt idx="29">
                  <c:v>96</c:v>
                </c:pt>
                <c:pt idx="30">
                  <c:v>90</c:v>
                </c:pt>
                <c:pt idx="31">
                  <c:v>89</c:v>
                </c:pt>
              </c:numCache>
            </c:numRef>
          </c:xVal>
          <c:yVal>
            <c:numRef>
              <c:f>korrelsig!$D$104:$D$135</c:f>
              <c:numCache>
                <c:formatCode>General</c:formatCode>
                <c:ptCount val="32"/>
                <c:pt idx="0">
                  <c:v>995.2</c:v>
                </c:pt>
                <c:pt idx="1">
                  <c:v>910.9</c:v>
                </c:pt>
                <c:pt idx="2">
                  <c:v>1055</c:v>
                </c:pt>
                <c:pt idx="3">
                  <c:v>1005</c:v>
                </c:pt>
                <c:pt idx="4">
                  <c:v>938.3</c:v>
                </c:pt>
                <c:pt idx="5">
                  <c:v>934.9</c:v>
                </c:pt>
                <c:pt idx="6">
                  <c:v>976.1</c:v>
                </c:pt>
                <c:pt idx="7">
                  <c:v>1004</c:v>
                </c:pt>
                <c:pt idx="8">
                  <c:v>952.6</c:v>
                </c:pt>
                <c:pt idx="9">
                  <c:v>1036.3</c:v>
                </c:pt>
                <c:pt idx="10">
                  <c:v>894.7</c:v>
                </c:pt>
                <c:pt idx="11">
                  <c:v>886.9</c:v>
                </c:pt>
                <c:pt idx="12">
                  <c:v>986.4</c:v>
                </c:pt>
                <c:pt idx="13">
                  <c:v>886.4</c:v>
                </c:pt>
                <c:pt idx="14">
                  <c:v>887.4</c:v>
                </c:pt>
                <c:pt idx="15">
                  <c:v>1028.5</c:v>
                </c:pt>
                <c:pt idx="16">
                  <c:v>948.1</c:v>
                </c:pt>
                <c:pt idx="17">
                  <c:v>893.8</c:v>
                </c:pt>
                <c:pt idx="18">
                  <c:v>886.4</c:v>
                </c:pt>
                <c:pt idx="19">
                  <c:v>1006</c:v>
                </c:pt>
                <c:pt idx="20">
                  <c:v>989.3</c:v>
                </c:pt>
                <c:pt idx="21">
                  <c:v>886.4</c:v>
                </c:pt>
                <c:pt idx="22">
                  <c:v>993.2</c:v>
                </c:pt>
                <c:pt idx="23">
                  <c:v>1043.2</c:v>
                </c:pt>
                <c:pt idx="24">
                  <c:v>1047.0999999999999</c:v>
                </c:pt>
                <c:pt idx="25">
                  <c:v>918.3</c:v>
                </c:pt>
                <c:pt idx="26">
                  <c:v>903.1</c:v>
                </c:pt>
                <c:pt idx="27">
                  <c:v>958.9</c:v>
                </c:pt>
                <c:pt idx="28">
                  <c:v>978.5</c:v>
                </c:pt>
                <c:pt idx="29">
                  <c:v>880.5</c:v>
                </c:pt>
                <c:pt idx="30">
                  <c:v>900.6</c:v>
                </c:pt>
                <c:pt idx="31">
                  <c:v>1051</c:v>
                </c:pt>
              </c:numCache>
            </c:numRef>
          </c:yVal>
          <c:smooth val="0"/>
        </c:ser>
        <c:ser>
          <c:idx val="2"/>
          <c:order val="2"/>
          <c:tx>
            <c:v>krit</c:v>
          </c:tx>
          <c:spPr>
            <a:ln w="28575">
              <a:noFill/>
            </a:ln>
          </c:spPr>
          <c:marker>
            <c:symbol val="circle"/>
            <c:size val="15"/>
            <c:spPr>
              <a:noFill/>
              <a:ln w="12700">
                <a:solidFill>
                  <a:schemeClr val="tx1"/>
                </a:solidFill>
              </a:ln>
            </c:spPr>
          </c:marker>
          <c:xVal>
            <c:numRef>
              <c:f>korrelsig!$R$4:$R$22</c:f>
              <c:numCache>
                <c:formatCode>General</c:formatCode>
                <c:ptCount val="19"/>
                <c:pt idx="0">
                  <c:v>52</c:v>
                </c:pt>
                <c:pt idx="1">
                  <c:v>95</c:v>
                </c:pt>
                <c:pt idx="2">
                  <c:v>48</c:v>
                </c:pt>
                <c:pt idx="3">
                  <c:v>100</c:v>
                </c:pt>
                <c:pt idx="4">
                  <c:v>83</c:v>
                </c:pt>
                <c:pt idx="5">
                  <c:v>66</c:v>
                </c:pt>
                <c:pt idx="6">
                  <c:v>92</c:v>
                </c:pt>
                <c:pt idx="7">
                  <c:v>83</c:v>
                </c:pt>
                <c:pt idx="8">
                  <c:v>69</c:v>
                </c:pt>
                <c:pt idx="9">
                  <c:v>92</c:v>
                </c:pt>
                <c:pt idx="10">
                  <c:v>81</c:v>
                </c:pt>
                <c:pt idx="11">
                  <c:v>82</c:v>
                </c:pt>
                <c:pt idx="12">
                  <c:v>94</c:v>
                </c:pt>
                <c:pt idx="13">
                  <c:v>92</c:v>
                </c:pt>
                <c:pt idx="14">
                  <c:v>82</c:v>
                </c:pt>
                <c:pt idx="15">
                  <c:v>80</c:v>
                </c:pt>
                <c:pt idx="16">
                  <c:v>96</c:v>
                </c:pt>
                <c:pt idx="17">
                  <c:v>90</c:v>
                </c:pt>
                <c:pt idx="18">
                  <c:v>0</c:v>
                </c:pt>
              </c:numCache>
            </c:numRef>
          </c:xVal>
          <c:yVal>
            <c:numRef>
              <c:f>korrelsig!$T$4:$T$22</c:f>
              <c:numCache>
                <c:formatCode>General</c:formatCode>
                <c:ptCount val="19"/>
                <c:pt idx="0">
                  <c:v>891.3</c:v>
                </c:pt>
                <c:pt idx="1">
                  <c:v>880.5</c:v>
                </c:pt>
                <c:pt idx="2">
                  <c:v>907</c:v>
                </c:pt>
                <c:pt idx="3">
                  <c:v>917.8</c:v>
                </c:pt>
                <c:pt idx="4">
                  <c:v>948.6</c:v>
                </c:pt>
                <c:pt idx="5">
                  <c:v>904</c:v>
                </c:pt>
                <c:pt idx="6">
                  <c:v>938.3</c:v>
                </c:pt>
                <c:pt idx="7">
                  <c:v>934.9</c:v>
                </c:pt>
                <c:pt idx="8">
                  <c:v>894.7</c:v>
                </c:pt>
                <c:pt idx="9">
                  <c:v>886.9</c:v>
                </c:pt>
                <c:pt idx="10">
                  <c:v>886.4</c:v>
                </c:pt>
                <c:pt idx="11">
                  <c:v>887.4</c:v>
                </c:pt>
                <c:pt idx="12">
                  <c:v>893.8</c:v>
                </c:pt>
                <c:pt idx="13">
                  <c:v>886.4</c:v>
                </c:pt>
                <c:pt idx="14">
                  <c:v>886.4</c:v>
                </c:pt>
                <c:pt idx="15">
                  <c:v>903.1</c:v>
                </c:pt>
                <c:pt idx="16">
                  <c:v>880.5</c:v>
                </c:pt>
                <c:pt idx="17">
                  <c:v>900.6</c:v>
                </c:pt>
                <c:pt idx="18">
                  <c:v>880.5</c:v>
                </c:pt>
              </c:numCache>
            </c:numRef>
          </c:yVal>
          <c:smooth val="1"/>
        </c:ser>
        <c:dLbls>
          <c:showLegendKey val="0"/>
          <c:showVal val="0"/>
          <c:showCatName val="0"/>
          <c:showSerName val="0"/>
          <c:showPercent val="0"/>
          <c:showBubbleSize val="0"/>
        </c:dLbls>
        <c:axId val="255324160"/>
        <c:axId val="255326080"/>
      </c:scatterChart>
      <c:valAx>
        <c:axId val="255324160"/>
        <c:scaling>
          <c:orientation val="minMax"/>
          <c:max val="100"/>
          <c:min val="40"/>
        </c:scaling>
        <c:delete val="0"/>
        <c:axPos val="b"/>
        <c:numFmt formatCode="General" sourceLinked="1"/>
        <c:majorTickMark val="out"/>
        <c:minorTickMark val="none"/>
        <c:tickLblPos val="nextTo"/>
        <c:crossAx val="255326080"/>
        <c:crosses val="autoZero"/>
        <c:crossBetween val="midCat"/>
      </c:valAx>
      <c:valAx>
        <c:axId val="255326080"/>
        <c:scaling>
          <c:orientation val="minMax"/>
          <c:max val="1150"/>
          <c:min val="850"/>
        </c:scaling>
        <c:delete val="0"/>
        <c:axPos val="l"/>
        <c:majorGridlines/>
        <c:numFmt formatCode="General" sourceLinked="1"/>
        <c:majorTickMark val="out"/>
        <c:minorTickMark val="none"/>
        <c:tickLblPos val="nextTo"/>
        <c:crossAx val="255324160"/>
        <c:crosses val="autoZero"/>
        <c:crossBetween val="midCat"/>
      </c:valAx>
    </c:plotArea>
    <c:legend>
      <c:legendPos val="b"/>
      <c:legendEntry>
        <c:idx val="2"/>
        <c:delete val="1"/>
      </c:legendEntry>
      <c:overlay val="0"/>
    </c:legend>
    <c:plotVisOnly val="1"/>
    <c:dispBlanksAs val="gap"/>
    <c:showDLblsOverMax val="0"/>
  </c:chart>
  <c:txPr>
    <a:bodyPr/>
    <a:lstStyle/>
    <a:p>
      <a:pPr>
        <a:defRPr>
          <a:latin typeface="+mj-lt"/>
        </a:defRPr>
      </a:pPr>
      <a:endParaRPr lang="hu-H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a:t>A COCO-Y0 pontszám eloszlása</a:t>
            </a:r>
          </a:p>
        </c:rich>
      </c:tx>
      <c:overlay val="0"/>
    </c:title>
    <c:autoTitleDeleted val="0"/>
    <c:plotArea>
      <c:layout/>
      <c:scatterChart>
        <c:scatterStyle val="smoothMarker"/>
        <c:varyColors val="0"/>
        <c:ser>
          <c:idx val="0"/>
          <c:order val="0"/>
          <c:tx>
            <c:v>Emelt</c:v>
          </c:tx>
          <c:spPr>
            <a:ln w="38100"/>
          </c:spPr>
          <c:marker>
            <c:symbol val="none"/>
          </c:marker>
          <c:xVal>
            <c:numRef>
              <c:f>korrelsig!$I$24:$I$36</c:f>
              <c:numCache>
                <c:formatCode>General</c:formatCode>
                <c:ptCount val="13"/>
                <c:pt idx="0">
                  <c:v>850</c:v>
                </c:pt>
                <c:pt idx="1">
                  <c:v>875</c:v>
                </c:pt>
                <c:pt idx="2">
                  <c:v>900</c:v>
                </c:pt>
                <c:pt idx="3">
                  <c:v>925</c:v>
                </c:pt>
                <c:pt idx="4">
                  <c:v>950</c:v>
                </c:pt>
                <c:pt idx="5">
                  <c:v>975</c:v>
                </c:pt>
                <c:pt idx="6">
                  <c:v>1000</c:v>
                </c:pt>
                <c:pt idx="7">
                  <c:v>1025</c:v>
                </c:pt>
                <c:pt idx="8">
                  <c:v>1050</c:v>
                </c:pt>
                <c:pt idx="9">
                  <c:v>1075</c:v>
                </c:pt>
                <c:pt idx="10">
                  <c:v>1100</c:v>
                </c:pt>
                <c:pt idx="11">
                  <c:v>1125</c:v>
                </c:pt>
                <c:pt idx="12">
                  <c:v>1150</c:v>
                </c:pt>
              </c:numCache>
            </c:numRef>
          </c:xVal>
          <c:yVal>
            <c:numRef>
              <c:f>korrelsig!$J$24:$J$36</c:f>
              <c:numCache>
                <c:formatCode>General</c:formatCode>
                <c:ptCount val="13"/>
                <c:pt idx="0">
                  <c:v>0</c:v>
                </c:pt>
                <c:pt idx="1">
                  <c:v>0</c:v>
                </c:pt>
                <c:pt idx="2">
                  <c:v>3</c:v>
                </c:pt>
                <c:pt idx="3">
                  <c:v>8</c:v>
                </c:pt>
                <c:pt idx="4">
                  <c:v>4</c:v>
                </c:pt>
                <c:pt idx="5">
                  <c:v>9</c:v>
                </c:pt>
                <c:pt idx="6">
                  <c:v>5</c:v>
                </c:pt>
                <c:pt idx="7">
                  <c:v>5</c:v>
                </c:pt>
                <c:pt idx="8">
                  <c:v>17</c:v>
                </c:pt>
                <c:pt idx="9">
                  <c:v>42</c:v>
                </c:pt>
                <c:pt idx="10">
                  <c:v>4</c:v>
                </c:pt>
                <c:pt idx="11">
                  <c:v>0</c:v>
                </c:pt>
                <c:pt idx="12">
                  <c:v>0</c:v>
                </c:pt>
              </c:numCache>
            </c:numRef>
          </c:yVal>
          <c:smooth val="1"/>
        </c:ser>
        <c:ser>
          <c:idx val="1"/>
          <c:order val="1"/>
          <c:tx>
            <c:v>Közép</c:v>
          </c:tx>
          <c:spPr>
            <a:ln w="38100"/>
          </c:spPr>
          <c:marker>
            <c:symbol val="none"/>
          </c:marker>
          <c:xVal>
            <c:numRef>
              <c:f>korrelsig!$I$24:$I$36</c:f>
              <c:numCache>
                <c:formatCode>General</c:formatCode>
                <c:ptCount val="13"/>
                <c:pt idx="0">
                  <c:v>850</c:v>
                </c:pt>
                <c:pt idx="1">
                  <c:v>875</c:v>
                </c:pt>
                <c:pt idx="2">
                  <c:v>900</c:v>
                </c:pt>
                <c:pt idx="3">
                  <c:v>925</c:v>
                </c:pt>
                <c:pt idx="4">
                  <c:v>950</c:v>
                </c:pt>
                <c:pt idx="5">
                  <c:v>975</c:v>
                </c:pt>
                <c:pt idx="6">
                  <c:v>1000</c:v>
                </c:pt>
                <c:pt idx="7">
                  <c:v>1025</c:v>
                </c:pt>
                <c:pt idx="8">
                  <c:v>1050</c:v>
                </c:pt>
                <c:pt idx="9">
                  <c:v>1075</c:v>
                </c:pt>
                <c:pt idx="10">
                  <c:v>1100</c:v>
                </c:pt>
                <c:pt idx="11">
                  <c:v>1125</c:v>
                </c:pt>
                <c:pt idx="12">
                  <c:v>1150</c:v>
                </c:pt>
              </c:numCache>
            </c:numRef>
          </c:xVal>
          <c:yVal>
            <c:numRef>
              <c:f>korrelsig!$K$24:$K$36</c:f>
              <c:numCache>
                <c:formatCode>General</c:formatCode>
                <c:ptCount val="13"/>
                <c:pt idx="0">
                  <c:v>0</c:v>
                </c:pt>
                <c:pt idx="1">
                  <c:v>0</c:v>
                </c:pt>
                <c:pt idx="2">
                  <c:v>8</c:v>
                </c:pt>
                <c:pt idx="3">
                  <c:v>4</c:v>
                </c:pt>
                <c:pt idx="4">
                  <c:v>3</c:v>
                </c:pt>
                <c:pt idx="5">
                  <c:v>2</c:v>
                </c:pt>
                <c:pt idx="6">
                  <c:v>6</c:v>
                </c:pt>
                <c:pt idx="7">
                  <c:v>3</c:v>
                </c:pt>
                <c:pt idx="8">
                  <c:v>4</c:v>
                </c:pt>
                <c:pt idx="9">
                  <c:v>2</c:v>
                </c:pt>
                <c:pt idx="10">
                  <c:v>0</c:v>
                </c:pt>
                <c:pt idx="11">
                  <c:v>0</c:v>
                </c:pt>
                <c:pt idx="12">
                  <c:v>0</c:v>
                </c:pt>
              </c:numCache>
            </c:numRef>
          </c:yVal>
          <c:smooth val="1"/>
        </c:ser>
        <c:dLbls>
          <c:showLegendKey val="0"/>
          <c:showVal val="0"/>
          <c:showCatName val="0"/>
          <c:showSerName val="0"/>
          <c:showPercent val="0"/>
          <c:showBubbleSize val="0"/>
        </c:dLbls>
        <c:axId val="265906048"/>
        <c:axId val="265907584"/>
      </c:scatterChart>
      <c:valAx>
        <c:axId val="265906048"/>
        <c:scaling>
          <c:orientation val="minMax"/>
          <c:max val="1150"/>
          <c:min val="850"/>
        </c:scaling>
        <c:delete val="0"/>
        <c:axPos val="b"/>
        <c:numFmt formatCode="General" sourceLinked="1"/>
        <c:majorTickMark val="out"/>
        <c:minorTickMark val="none"/>
        <c:tickLblPos val="nextTo"/>
        <c:crossAx val="265907584"/>
        <c:crosses val="autoZero"/>
        <c:crossBetween val="midCat"/>
      </c:valAx>
      <c:valAx>
        <c:axId val="265907584"/>
        <c:scaling>
          <c:orientation val="minMax"/>
          <c:min val="0"/>
        </c:scaling>
        <c:delete val="0"/>
        <c:axPos val="l"/>
        <c:majorGridlines/>
        <c:numFmt formatCode="General" sourceLinked="1"/>
        <c:majorTickMark val="out"/>
        <c:minorTickMark val="none"/>
        <c:tickLblPos val="nextTo"/>
        <c:crossAx val="265906048"/>
        <c:crosses val="autoZero"/>
        <c:crossBetween val="midCat"/>
      </c:valAx>
    </c:plotArea>
    <c:legend>
      <c:legendPos val="b"/>
      <c:overlay val="0"/>
    </c:legend>
    <c:plotVisOnly val="1"/>
    <c:dispBlanksAs val="gap"/>
    <c:showDLblsOverMax val="0"/>
  </c:chart>
  <c:txPr>
    <a:bodyPr/>
    <a:lstStyle/>
    <a:p>
      <a:pPr>
        <a:defRPr>
          <a:latin typeface="+mj-lt"/>
        </a:defRPr>
      </a:pPr>
      <a:endParaRPr lang="hu-H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E6"/>
    <w:rsid w:val="00656E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656EE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656E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4493-A600-49BC-A8E5-E0E94A10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15</Pages>
  <Words>3487</Words>
  <Characters>24064</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Laci</cp:lastModifiedBy>
  <cp:revision>208</cp:revision>
  <cp:lastPrinted>2016-01-28T05:21:00Z</cp:lastPrinted>
  <dcterms:created xsi:type="dcterms:W3CDTF">2015-09-20T23:54:00Z</dcterms:created>
  <dcterms:modified xsi:type="dcterms:W3CDTF">2018-01-07T11:29:00Z</dcterms:modified>
</cp:coreProperties>
</file>