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2C87F" w14:textId="77777777" w:rsidR="00391665" w:rsidRDefault="00391665" w:rsidP="00004E0A">
      <w:pPr>
        <w:pBdr>
          <w:top w:val="single" w:sz="4" w:space="1" w:color="auto"/>
          <w:left w:val="single" w:sz="4" w:space="4" w:color="auto"/>
          <w:bottom w:val="single" w:sz="4" w:space="1" w:color="auto"/>
          <w:right w:val="single" w:sz="4" w:space="4" w:color="auto"/>
        </w:pBdr>
        <w:spacing w:line="360" w:lineRule="auto"/>
        <w:jc w:val="both"/>
        <w:rPr>
          <w:rFonts w:ascii="Times New Roman" w:eastAsia="Arial Unicode MS" w:hAnsi="Times New Roman" w:cs="Times New Roman"/>
          <w:sz w:val="20"/>
          <w:szCs w:val="20"/>
          <w:lang w:val="en-GB"/>
        </w:rPr>
      </w:pPr>
      <w:r>
        <w:rPr>
          <w:lang w:val="en-GB"/>
        </w:rPr>
        <w:t>MIAU – HU ISSN 1419-1652 – Special Edition 2020 Spring - Editorials: The papers in MIAU Nr.261 (2020.V) are products of a new education frame system “</w:t>
      </w:r>
      <w:proofErr w:type="spellStart"/>
      <w:r>
        <w:rPr>
          <w:lang w:val="en-GB"/>
        </w:rPr>
        <w:t>QuILT</w:t>
      </w:r>
      <w:proofErr w:type="spellEnd"/>
      <w:r>
        <w:rPr>
          <w:lang w:val="en-GB"/>
        </w:rPr>
        <w:t xml:space="preserve">” (https://miau.my-x.hu/mediawiki/index.php/QuILT). The goals of </w:t>
      </w:r>
      <w:proofErr w:type="spellStart"/>
      <w:r>
        <w:rPr>
          <w:lang w:val="en-GB"/>
        </w:rPr>
        <w:t>QuILT</w:t>
      </w:r>
      <w:proofErr w:type="spellEnd"/>
      <w:r>
        <w:rPr>
          <w:lang w:val="en-GB"/>
        </w:rPr>
        <w:t xml:space="preserve">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w:t>
      </w:r>
      <w:proofErr w:type="spellStart"/>
      <w:r>
        <w:rPr>
          <w:lang w:val="en-GB"/>
        </w:rPr>
        <w:t>QuILT</w:t>
      </w:r>
      <w:proofErr w:type="spellEnd"/>
      <w:r>
        <w:rPr>
          <w:lang w:val="en-GB"/>
        </w:rPr>
        <w:t>-semester - https://miau.my-x.hu/mediawiki/index.php/QuILT2_parts - there are not only classic publication possibilities like robotizing the investigative journalism – there are further specific tasks too like 2DM-games, gamification in general, thinking experiments, etc.</w:t>
      </w:r>
    </w:p>
    <w:p w14:paraId="2C128F13" w14:textId="77777777" w:rsidR="00391665" w:rsidRDefault="00391665" w:rsidP="00A707EE">
      <w:pPr>
        <w:jc w:val="both"/>
        <w:rPr>
          <w:rFonts w:ascii="Arial" w:eastAsia="Arial" w:hAnsi="Arial"/>
          <w:b/>
          <w:bCs/>
          <w:sz w:val="24"/>
          <w:szCs w:val="24"/>
          <w:u w:val="single"/>
          <w:lang w:val="en-GB"/>
        </w:rPr>
      </w:pPr>
    </w:p>
    <w:p w14:paraId="7A87F8A4" w14:textId="671015F5" w:rsidR="00796095" w:rsidRDefault="00796095" w:rsidP="00A707EE">
      <w:pPr>
        <w:pStyle w:val="Cm"/>
        <w:jc w:val="both"/>
      </w:pPr>
      <w:r>
        <w:t>Title:</w:t>
      </w:r>
      <w:r w:rsidR="00FA6A3C">
        <w:t xml:space="preserve"> Food-Kaleidoscope – the case of Belgium</w:t>
      </w:r>
    </w:p>
    <w:p w14:paraId="4D5AAE67" w14:textId="77777777" w:rsidR="00796095" w:rsidRDefault="00796095" w:rsidP="00A707EE">
      <w:pPr>
        <w:jc w:val="both"/>
      </w:pPr>
      <w:r>
        <w:t>Author:</w:t>
      </w:r>
      <w:r w:rsidR="005F77AE">
        <w:t xml:space="preserve"> LUBO NGOIE JUNIOR </w:t>
      </w:r>
    </w:p>
    <w:p w14:paraId="2AE184F4" w14:textId="27A32BD5" w:rsidR="00E11E11" w:rsidRDefault="00796095" w:rsidP="00A707EE">
      <w:pPr>
        <w:jc w:val="both"/>
      </w:pPr>
      <w:r>
        <w:t>Abstract:</w:t>
      </w:r>
      <w:r w:rsidR="0043484A">
        <w:t xml:space="preserve"> </w:t>
      </w:r>
      <w:r w:rsidR="00E11E11" w:rsidRPr="00E11E11">
        <w:t xml:space="preserve">This paper report includes </w:t>
      </w:r>
      <w:r w:rsidR="00E11E11">
        <w:t xml:space="preserve">historical and political views of Belgium about the food consumption of the country </w:t>
      </w:r>
      <w:r w:rsidR="00E11E11" w:rsidRPr="00E11E11">
        <w:t xml:space="preserve">findings on the number of food insecure </w:t>
      </w:r>
      <w:r w:rsidR="00E11E11">
        <w:t xml:space="preserve">and </w:t>
      </w:r>
      <w:r w:rsidR="00E11E11" w:rsidRPr="00E11E11">
        <w:t>analysis household survey designed by the FAO. A stratified and multi-sage sampling approach was used to provide estimate of set of food and nutritional security indicators countries.</w:t>
      </w:r>
      <w:r w:rsidR="00FA6A3C">
        <w:t xml:space="preserve"> Based on the Food-Kaleidoscope-technology, it will be possible to demonstrate how can we decide about pattern-like situations or continuously stable food supply concerning a society/country. A good methodology should also be able to have the answer of none – like </w:t>
      </w:r>
      <w:r w:rsidR="003814A5">
        <w:t xml:space="preserve">ethical </w:t>
      </w:r>
      <w:r w:rsidR="00FA6A3C">
        <w:t>human</w:t>
      </w:r>
      <w:r w:rsidR="003814A5">
        <w:t xml:space="preserve"> experts do. This specific knowledge is a part of the Turing test if we involve AI into the analytical processes.</w:t>
      </w:r>
    </w:p>
    <w:p w14:paraId="28B64ED2" w14:textId="108D46A1" w:rsidR="00796095" w:rsidRDefault="00796095" w:rsidP="00A707EE">
      <w:pPr>
        <w:jc w:val="both"/>
      </w:pPr>
      <w:r>
        <w:t>Keywords:</w:t>
      </w:r>
      <w:r w:rsidR="00E11E11">
        <w:t xml:space="preserve"> History, Growth, crisis, food security</w:t>
      </w:r>
      <w:r w:rsidR="00FA6A3C">
        <w:t>, AI, Turing test</w:t>
      </w:r>
      <w:r w:rsidR="005159F9">
        <w:t>, answer-option=none</w:t>
      </w:r>
    </w:p>
    <w:p w14:paraId="74FAA162" w14:textId="77777777" w:rsidR="00796095" w:rsidRDefault="00796095" w:rsidP="00A707EE">
      <w:pPr>
        <w:pStyle w:val="Cmsor1"/>
        <w:jc w:val="both"/>
      </w:pPr>
      <w:r>
        <w:lastRenderedPageBreak/>
        <w:t>Introduction</w:t>
      </w:r>
    </w:p>
    <w:p w14:paraId="4E0E174D" w14:textId="77777777" w:rsidR="005F77AE" w:rsidRPr="00847336" w:rsidRDefault="00782939" w:rsidP="00A707EE">
      <w:pPr>
        <w:spacing w:line="276" w:lineRule="auto"/>
        <w:jc w:val="both"/>
        <w:rPr>
          <w:sz w:val="24"/>
          <w:szCs w:val="24"/>
        </w:rPr>
      </w:pPr>
      <w:r w:rsidRPr="00847336">
        <w:rPr>
          <w:sz w:val="24"/>
          <w:szCs w:val="24"/>
        </w:rPr>
        <w:t>Belgium, country of northwestern Europe. It is one of the smallest and most densely populated European countries, and it has been, since its independence in 1830, a representative democracy headed by a hereditary constitutional monarch. Initially, Belgium had a unitary form of government. In the 1980s and ’90s, however, steps were taken to turn Belgium into a federal state with powers shared among the regions of Flanders, Wallonia, and the Brussels-Capital Region.</w:t>
      </w:r>
    </w:p>
    <w:p w14:paraId="0DA0B1A1" w14:textId="77777777" w:rsidR="00782939" w:rsidRDefault="00782939" w:rsidP="00A707EE">
      <w:pPr>
        <w:spacing w:line="276" w:lineRule="auto"/>
        <w:jc w:val="both"/>
        <w:rPr>
          <w:sz w:val="24"/>
          <w:szCs w:val="24"/>
        </w:rPr>
      </w:pPr>
      <w:r w:rsidRPr="00847336">
        <w:rPr>
          <w:sz w:val="24"/>
          <w:szCs w:val="24"/>
        </w:rPr>
        <w:t xml:space="preserve">Belgium and the political entities that preceded it have been rich with historical and cultural associations, from the Gothic grandeur of its medieval university and commercial cities and its small, castle-dominated towns on steep-bluffed winding rivers, through its broad traditions in painting and music that marked one of the high points of the northern Renaissance in the 16th century, to its contributions to the arts of the 20th century and its maintenance of the folk cultures of past eras. The Belgian landscape has been a major European battleground for centuries, notably in modern times during the Battle of Waterloo (1815) and the 20th </w:t>
      </w:r>
      <w:proofErr w:type="gramStart"/>
      <w:r w:rsidRPr="00847336">
        <w:rPr>
          <w:sz w:val="24"/>
          <w:szCs w:val="24"/>
        </w:rPr>
        <w:t>century’s</w:t>
      </w:r>
      <w:proofErr w:type="gramEnd"/>
      <w:r w:rsidRPr="00847336">
        <w:rPr>
          <w:sz w:val="24"/>
          <w:szCs w:val="24"/>
        </w:rPr>
        <w:t xml:space="preserve"> two world wars. Given its area and population, Belgium today is one of the most heavily industrialized and urbanized countries in Europe. It is a member of the Benelux Economic Union (with the Netherlands and Luxembourg), the European Union (EU), and the North Atlantic Treaty Organization (NATO)—organizations that all have headquarters in or near the capital city of Brussels.</w:t>
      </w:r>
    </w:p>
    <w:p w14:paraId="68CB19FE" w14:textId="77777777" w:rsidR="00782939" w:rsidRPr="00847336" w:rsidRDefault="00782939" w:rsidP="00A707EE">
      <w:pPr>
        <w:spacing w:line="276" w:lineRule="auto"/>
        <w:jc w:val="both"/>
        <w:rPr>
          <w:sz w:val="24"/>
          <w:szCs w:val="24"/>
        </w:rPr>
      </w:pPr>
      <w:r w:rsidRPr="00782939">
        <w:rPr>
          <w:sz w:val="24"/>
          <w:szCs w:val="24"/>
        </w:rPr>
        <w:t xml:space="preserve">Only a small percentage of the country’s active population engages in agriculture, and agricultural activity has continued to shrink, both in employment and in its contribution to the GDP. About one-fourth of Belgium’s land area is agricultural and under permanent cultivation; more than one-fifth comprises meadows and pastures. Major crops are sugar beets, chicory, flax, cereal grains, and potatoes. The cultivation of fruits, vegetables, and ornamental plants also is important, particularly in Flanders. However, agricultural activity in Belgium </w:t>
      </w:r>
      <w:r w:rsidR="00E11E11" w:rsidRPr="00782939">
        <w:rPr>
          <w:sz w:val="24"/>
          <w:szCs w:val="24"/>
        </w:rPr>
        <w:t>centers</w:t>
      </w:r>
      <w:r w:rsidRPr="00782939">
        <w:rPr>
          <w:sz w:val="24"/>
          <w:szCs w:val="24"/>
        </w:rPr>
        <w:t xml:space="preserve"> primarily on livestock; dairy and meat products constitute more than two-thirds of the total farm value.</w:t>
      </w:r>
    </w:p>
    <w:p w14:paraId="52B1216E" w14:textId="77777777" w:rsidR="005F77AE" w:rsidRPr="00847336" w:rsidRDefault="005F77AE" w:rsidP="00A707EE">
      <w:pPr>
        <w:jc w:val="both"/>
      </w:pPr>
    </w:p>
    <w:p w14:paraId="705C51F9" w14:textId="2CC01F8D" w:rsidR="00796095" w:rsidRDefault="00796095" w:rsidP="00A707EE">
      <w:pPr>
        <w:pStyle w:val="Cmsor2"/>
        <w:jc w:val="both"/>
      </w:pPr>
      <w:r>
        <w:t>Goals</w:t>
      </w:r>
    </w:p>
    <w:p w14:paraId="61872063" w14:textId="4C43BFA9" w:rsidR="00847336" w:rsidRPr="00847336" w:rsidRDefault="00847336" w:rsidP="00A707EE">
      <w:pPr>
        <w:jc w:val="both"/>
      </w:pPr>
      <w:r>
        <w:t>Why it is important to produce this publication?</w:t>
      </w:r>
      <w:r w:rsidR="00391665">
        <w:t xml:space="preserve"> The case of Belgium is a part of the series of the Food-Kaleidoscope. Belgium had quasi no problems in the last decades therefore this country is a good extreme object for testing the Food-Kaleidoscope-approach. </w:t>
      </w:r>
    </w:p>
    <w:p w14:paraId="7E2E98B8" w14:textId="2F70034A" w:rsidR="00847336" w:rsidRDefault="00847336" w:rsidP="00A707EE">
      <w:pPr>
        <w:pStyle w:val="Cmsor2"/>
        <w:jc w:val="both"/>
      </w:pPr>
      <w:r>
        <w:t>Targeted groups</w:t>
      </w:r>
    </w:p>
    <w:p w14:paraId="773B0B9D" w14:textId="54EAB4C0" w:rsidR="00847336" w:rsidRPr="00847336" w:rsidRDefault="00847336" w:rsidP="00A707EE">
      <w:pPr>
        <w:jc w:val="both"/>
      </w:pPr>
      <w:r>
        <w:t>Who should be interested to have this publication?</w:t>
      </w:r>
      <w:r w:rsidR="00391665">
        <w:t xml:space="preserve"> The case study is a kind of evidence for the value of the Food-Kaleidoscope-concept. Therefore, this case study is relevant for each Reader of the Food-Kaleidoscope series.</w:t>
      </w:r>
    </w:p>
    <w:p w14:paraId="20C1B592" w14:textId="66D7E867" w:rsidR="00796095" w:rsidRDefault="00796095" w:rsidP="00004E0A">
      <w:pPr>
        <w:pStyle w:val="Cmsor2"/>
        <w:jc w:val="both"/>
      </w:pPr>
      <w:r>
        <w:lastRenderedPageBreak/>
        <w:t>Benefits</w:t>
      </w:r>
    </w:p>
    <w:p w14:paraId="03FB9468" w14:textId="6DCD269D" w:rsidR="00847336" w:rsidRPr="00847336" w:rsidRDefault="00847336" w:rsidP="00A707EE">
      <w:pPr>
        <w:jc w:val="both"/>
      </w:pPr>
      <w:r>
        <w:t>What is the benefit in case of the targeted groups if they have this publication?</w:t>
      </w:r>
      <w:r w:rsidR="00391665">
        <w:t xml:space="preserve"> The more complex proofs about a methodology is a kind of trivial benefit for each user.</w:t>
      </w:r>
    </w:p>
    <w:p w14:paraId="425F5C1C" w14:textId="3851A309" w:rsidR="00796095" w:rsidRDefault="00796095" w:rsidP="00A707EE">
      <w:pPr>
        <w:pStyle w:val="Cmsor2"/>
        <w:jc w:val="both"/>
      </w:pPr>
      <w:r>
        <w:t>Motivation</w:t>
      </w:r>
    </w:p>
    <w:p w14:paraId="2EE87114" w14:textId="687BE9F5" w:rsidR="00847336" w:rsidRPr="00847336" w:rsidRDefault="00847336" w:rsidP="00A707EE">
      <w:pPr>
        <w:jc w:val="both"/>
      </w:pPr>
      <w:r>
        <w:t>Why it is relevant for the author to support the targeted groups? To realize these goals</w:t>
      </w:r>
      <w:r w:rsidR="00391665">
        <w:t>…</w:t>
      </w:r>
    </w:p>
    <w:p w14:paraId="5F5D6F3E" w14:textId="77777777" w:rsidR="00796095" w:rsidRDefault="00796095" w:rsidP="00A707EE">
      <w:pPr>
        <w:pStyle w:val="Cmsor1"/>
        <w:jc w:val="both"/>
      </w:pPr>
      <w:r>
        <w:t>Literature</w:t>
      </w:r>
    </w:p>
    <w:p w14:paraId="1E818BE5" w14:textId="74CB5349" w:rsidR="00CD3B7C" w:rsidRDefault="001870F7" w:rsidP="00A707EE">
      <w:pPr>
        <w:jc w:val="both"/>
      </w:pPr>
      <w:r>
        <w:t>What kind of sources got involved into the publication process and why even these (about the already written parts concerning the Belgian history)?</w:t>
      </w:r>
    </w:p>
    <w:p w14:paraId="37471E51" w14:textId="6EA23224" w:rsidR="00391665" w:rsidRPr="00CD3B7C" w:rsidRDefault="00391665" w:rsidP="00A707EE">
      <w:pPr>
        <w:jc w:val="both"/>
      </w:pPr>
      <w:r>
        <w:t xml:space="preserve">The studies based on the Food-Kaleidoscope can be downloaded here: </w:t>
      </w:r>
      <w:hyperlink r:id="rId5" w:history="1">
        <w:r>
          <w:rPr>
            <w:rStyle w:val="Hiperhivatkozs"/>
          </w:rPr>
          <w:t>https://miau.my-x.hu/miau/261/?C=M;O=D</w:t>
        </w:r>
      </w:hyperlink>
    </w:p>
    <w:p w14:paraId="6AE09905" w14:textId="1FF205EC" w:rsidR="00796095" w:rsidRDefault="00796095" w:rsidP="00A707EE">
      <w:pPr>
        <w:pStyle w:val="Cmsor1"/>
        <w:jc w:val="both"/>
      </w:pPr>
      <w:r>
        <w:t>Data assets</w:t>
      </w:r>
    </w:p>
    <w:p w14:paraId="22D9F133" w14:textId="420BBBC9" w:rsidR="00847336" w:rsidRDefault="00847336" w:rsidP="00A707EE">
      <w:pPr>
        <w:jc w:val="both"/>
      </w:pPr>
      <w:r>
        <w:t>Source URLs, objects, attributes, units, preparation steps like pivot report, ranking</w:t>
      </w:r>
      <w:r w:rsidR="00004E0A">
        <w:t xml:space="preserve"> can be identified in the XLS-file: </w:t>
      </w:r>
      <w:hyperlink r:id="rId6" w:history="1">
        <w:r w:rsidR="00004E0A" w:rsidRPr="00A20314">
          <w:rPr>
            <w:rStyle w:val="Hiperhivatkozs"/>
          </w:rPr>
          <w:t>https://miau.my-x.hu/miau/quilt/2020/food_project/Belgium_only%20(1).xlsx</w:t>
        </w:r>
      </w:hyperlink>
    </w:p>
    <w:p w14:paraId="05EDBAB6" w14:textId="0498FD39" w:rsidR="00004E0A" w:rsidRPr="00847336" w:rsidRDefault="00004E0A" w:rsidP="00A707EE">
      <w:pPr>
        <w:jc w:val="both"/>
      </w:pPr>
      <w:r>
        <w:t xml:space="preserve">Further details: </w:t>
      </w:r>
      <w:hyperlink r:id="rId7" w:history="1">
        <w:r>
          <w:rPr>
            <w:rStyle w:val="Hiperhivatkozs"/>
          </w:rPr>
          <w:t>https://miau.my-x.hu/miau/quilt/2020/food_project/?C=M;O=D</w:t>
        </w:r>
      </w:hyperlink>
    </w:p>
    <w:p w14:paraId="455B43EF" w14:textId="65B97123" w:rsidR="00796095" w:rsidRDefault="00796095" w:rsidP="00A707EE">
      <w:pPr>
        <w:pStyle w:val="Cmsor1"/>
        <w:jc w:val="both"/>
      </w:pPr>
      <w:r>
        <w:t>Methodology</w:t>
      </w:r>
    </w:p>
    <w:p w14:paraId="16363EBC" w14:textId="4E46E097" w:rsidR="00847336" w:rsidRPr="00847336" w:rsidRDefault="00847336" w:rsidP="00A707EE">
      <w:pPr>
        <w:jc w:val="both"/>
      </w:pPr>
      <w:r>
        <w:t>An abstract from the already closed publication concerning the model-step</w:t>
      </w:r>
      <w:r w:rsidR="00004E0A">
        <w:t xml:space="preserve">s </w:t>
      </w:r>
      <w:proofErr w:type="gramStart"/>
      <w:r w:rsidR="00004E0A">
        <w:t>can be seen as</w:t>
      </w:r>
      <w:proofErr w:type="gramEnd"/>
      <w:r w:rsidR="00004E0A">
        <w:t xml:space="preserve"> a kind of methodological tutorial. Parallel, this description makes possible to have an introduction into the similarity analysis: </w:t>
      </w:r>
      <w:r w:rsidR="00004E0A" w:rsidRPr="00004E0A">
        <w:t>https://miau.my-x.hu/miau/196/My-X%20Team_A5%20fuzet_EN_jav.pdf</w:t>
      </w:r>
    </w:p>
    <w:p w14:paraId="594A100C" w14:textId="77777777" w:rsidR="00796095" w:rsidRDefault="00796095" w:rsidP="00A707EE">
      <w:pPr>
        <w:pStyle w:val="Cmsor1"/>
        <w:jc w:val="both"/>
      </w:pPr>
      <w:r>
        <w:t>Results</w:t>
      </w:r>
    </w:p>
    <w:p w14:paraId="09568F9A" w14:textId="77777777" w:rsidR="006A4A36" w:rsidRDefault="006A4A36" w:rsidP="00A707EE">
      <w:pPr>
        <w:jc w:val="both"/>
      </w:pPr>
      <w:r w:rsidRPr="006A4A36">
        <w:rPr>
          <w:noProof/>
        </w:rPr>
        <w:drawing>
          <wp:inline distT="0" distB="0" distL="0" distR="0" wp14:anchorId="61E57A11" wp14:editId="3B88C62D">
            <wp:extent cx="5943600" cy="1685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85925"/>
                    </a:xfrm>
                    <a:prstGeom prst="rect">
                      <a:avLst/>
                    </a:prstGeom>
                  </pic:spPr>
                </pic:pic>
              </a:graphicData>
            </a:graphic>
          </wp:inline>
        </w:drawing>
      </w:r>
    </w:p>
    <w:p w14:paraId="58CFC85B" w14:textId="77777777" w:rsidR="00796095" w:rsidRDefault="00796095" w:rsidP="00A707EE">
      <w:pPr>
        <w:spacing w:line="276" w:lineRule="auto"/>
        <w:jc w:val="both"/>
        <w:rPr>
          <w:sz w:val="24"/>
          <w:szCs w:val="24"/>
        </w:rPr>
      </w:pPr>
      <w:r>
        <w:rPr>
          <w:sz w:val="24"/>
          <w:szCs w:val="24"/>
        </w:rPr>
        <w:t>Figure Nr.1 – title, source</w:t>
      </w:r>
    </w:p>
    <w:p w14:paraId="36463ADA" w14:textId="77777777" w:rsidR="006A4A36" w:rsidRDefault="00796095" w:rsidP="00A707EE">
      <w:pPr>
        <w:spacing w:line="276" w:lineRule="auto"/>
        <w:jc w:val="both"/>
        <w:rPr>
          <w:sz w:val="24"/>
          <w:szCs w:val="24"/>
        </w:rPr>
      </w:pPr>
      <w:r>
        <w:rPr>
          <w:sz w:val="24"/>
          <w:szCs w:val="24"/>
        </w:rPr>
        <w:t xml:space="preserve">Interpretation of the Figure Nr.1: </w:t>
      </w:r>
      <w:r w:rsidR="00E95DB0" w:rsidRPr="00F65576">
        <w:rPr>
          <w:sz w:val="24"/>
          <w:szCs w:val="24"/>
        </w:rPr>
        <w:t>After</w:t>
      </w:r>
      <w:r w:rsidR="00C76DA4" w:rsidRPr="00F65576">
        <w:rPr>
          <w:sz w:val="24"/>
          <w:szCs w:val="24"/>
        </w:rPr>
        <w:t xml:space="preserve"> world war II</w:t>
      </w:r>
      <w:r w:rsidR="00E95DB0" w:rsidRPr="00F65576">
        <w:rPr>
          <w:sz w:val="24"/>
          <w:szCs w:val="24"/>
        </w:rPr>
        <w:t>, </w:t>
      </w:r>
      <w:r w:rsidR="00C76DA4" w:rsidRPr="00F65576">
        <w:rPr>
          <w:sz w:val="24"/>
          <w:szCs w:val="24"/>
        </w:rPr>
        <w:t>Ghent</w:t>
      </w:r>
      <w:r w:rsidR="00E95DB0" w:rsidRPr="00F65576">
        <w:rPr>
          <w:sz w:val="24"/>
          <w:szCs w:val="24"/>
        </w:rPr>
        <w:t> and </w:t>
      </w:r>
      <w:r w:rsidR="00C76DA4" w:rsidRPr="00F65576">
        <w:rPr>
          <w:sz w:val="24"/>
          <w:szCs w:val="24"/>
        </w:rPr>
        <w:t>Antwerp</w:t>
      </w:r>
      <w:r w:rsidR="00E95DB0" w:rsidRPr="00F65576">
        <w:rPr>
          <w:sz w:val="24"/>
          <w:szCs w:val="24"/>
        </w:rPr>
        <w:t> experienced a rapid expansion of the chemical and petroleum industries. The </w:t>
      </w:r>
      <w:hyperlink r:id="rId9" w:tooltip="1973 oil crisis" w:history="1">
        <w:r w:rsidR="00E95DB0" w:rsidRPr="00F65576">
          <w:rPr>
            <w:rStyle w:val="Hiperhivatkozs"/>
            <w:color w:val="auto"/>
            <w:sz w:val="24"/>
            <w:szCs w:val="24"/>
            <w:u w:val="none"/>
          </w:rPr>
          <w:t>1973</w:t>
        </w:r>
      </w:hyperlink>
      <w:r w:rsidR="00E95DB0" w:rsidRPr="00F65576">
        <w:rPr>
          <w:sz w:val="24"/>
          <w:szCs w:val="24"/>
        </w:rPr>
        <w:t> and </w:t>
      </w:r>
      <w:r w:rsidR="00C76DA4" w:rsidRPr="00F65576">
        <w:rPr>
          <w:sz w:val="24"/>
          <w:szCs w:val="24"/>
        </w:rPr>
        <w:t xml:space="preserve">1979 oil crises </w:t>
      </w:r>
      <w:r w:rsidR="00E95DB0" w:rsidRPr="00F65576">
        <w:rPr>
          <w:sz w:val="24"/>
          <w:szCs w:val="24"/>
        </w:rPr>
        <w:t>sent the economy into a recession; it was particularly prolonged in Wallonia, where the steel industry had become less competitive and experienced a serious decline.</w:t>
      </w:r>
      <w:r w:rsidR="00C76DA4" w:rsidRPr="00F65576">
        <w:rPr>
          <w:sz w:val="24"/>
          <w:szCs w:val="24"/>
        </w:rPr>
        <w:t xml:space="preserve"> </w:t>
      </w:r>
      <w:r w:rsidR="00E95DB0" w:rsidRPr="00F65576">
        <w:rPr>
          <w:sz w:val="24"/>
          <w:szCs w:val="24"/>
        </w:rPr>
        <w:t>In the 1980s and 1990s, the economic center of the country continued to shift northwards and is now concentrated in the populous </w:t>
      </w:r>
      <w:hyperlink r:id="rId10" w:tooltip="Flemish Diamond" w:history="1">
        <w:r w:rsidR="00E95DB0" w:rsidRPr="00F65576">
          <w:rPr>
            <w:rStyle w:val="Hiperhivatkozs"/>
            <w:color w:val="auto"/>
            <w:sz w:val="24"/>
            <w:szCs w:val="24"/>
          </w:rPr>
          <w:t>Flemish Diamond</w:t>
        </w:r>
      </w:hyperlink>
      <w:r w:rsidR="00E95DB0" w:rsidRPr="00F65576">
        <w:rPr>
          <w:sz w:val="24"/>
          <w:szCs w:val="24"/>
        </w:rPr>
        <w:t xml:space="preserve"> area</w:t>
      </w:r>
      <w:r w:rsidR="00C76DA4" w:rsidRPr="00F65576">
        <w:rPr>
          <w:sz w:val="24"/>
          <w:szCs w:val="24"/>
        </w:rPr>
        <w:t>.</w:t>
      </w:r>
    </w:p>
    <w:p w14:paraId="3F4C9756" w14:textId="77777777" w:rsidR="00F47A13" w:rsidRPr="00F65576" w:rsidRDefault="00B60D9E" w:rsidP="00A707EE">
      <w:pPr>
        <w:spacing w:line="276" w:lineRule="auto"/>
        <w:jc w:val="both"/>
        <w:rPr>
          <w:sz w:val="24"/>
          <w:szCs w:val="24"/>
        </w:rPr>
      </w:pPr>
      <w:r w:rsidRPr="00B60D9E">
        <w:rPr>
          <w:sz w:val="24"/>
          <w:szCs w:val="24"/>
        </w:rPr>
        <w:lastRenderedPageBreak/>
        <w:t xml:space="preserve">events occurring in the year 2004 in Belgium. Major events include a gas explosion in </w:t>
      </w:r>
      <w:proofErr w:type="spellStart"/>
      <w:r w:rsidRPr="00B60D9E">
        <w:rPr>
          <w:sz w:val="24"/>
          <w:szCs w:val="24"/>
        </w:rPr>
        <w:t>Ghislenghien</w:t>
      </w:r>
      <w:proofErr w:type="spellEnd"/>
      <w:r w:rsidRPr="00B60D9E">
        <w:rPr>
          <w:sz w:val="24"/>
          <w:szCs w:val="24"/>
        </w:rPr>
        <w:t xml:space="preserve">, which killed 24 people, and the restructuring of the </w:t>
      </w:r>
      <w:proofErr w:type="spellStart"/>
      <w:r w:rsidRPr="00B60D9E">
        <w:rPr>
          <w:sz w:val="24"/>
          <w:szCs w:val="24"/>
        </w:rPr>
        <w:t>Vlaams</w:t>
      </w:r>
      <w:proofErr w:type="spellEnd"/>
      <w:r w:rsidRPr="00B60D9E">
        <w:rPr>
          <w:sz w:val="24"/>
          <w:szCs w:val="24"/>
        </w:rPr>
        <w:t xml:space="preserve"> Blok political party.</w:t>
      </w:r>
    </w:p>
    <w:p w14:paraId="7856856C" w14:textId="77777777" w:rsidR="006A4A36" w:rsidRDefault="006A4A36" w:rsidP="00A707EE">
      <w:pPr>
        <w:jc w:val="both"/>
      </w:pPr>
    </w:p>
    <w:p w14:paraId="2A496F81" w14:textId="77777777" w:rsidR="006A4A36" w:rsidRDefault="006A4A36" w:rsidP="00A707EE">
      <w:pPr>
        <w:jc w:val="both"/>
      </w:pPr>
      <w:r w:rsidRPr="006A4A36">
        <w:rPr>
          <w:noProof/>
        </w:rPr>
        <w:drawing>
          <wp:inline distT="0" distB="0" distL="0" distR="0" wp14:anchorId="09278AB0" wp14:editId="4D002959">
            <wp:extent cx="5943600" cy="16814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81480"/>
                    </a:xfrm>
                    <a:prstGeom prst="rect">
                      <a:avLst/>
                    </a:prstGeom>
                  </pic:spPr>
                </pic:pic>
              </a:graphicData>
            </a:graphic>
          </wp:inline>
        </w:drawing>
      </w:r>
    </w:p>
    <w:p w14:paraId="5E4777A9" w14:textId="77777777" w:rsidR="00796095" w:rsidRDefault="00796095" w:rsidP="00A707EE">
      <w:pPr>
        <w:spacing w:line="276" w:lineRule="auto"/>
        <w:jc w:val="both"/>
        <w:rPr>
          <w:sz w:val="24"/>
          <w:szCs w:val="24"/>
        </w:rPr>
      </w:pPr>
      <w:r>
        <w:rPr>
          <w:sz w:val="24"/>
          <w:szCs w:val="24"/>
        </w:rPr>
        <w:t>Figure Nr.2 – title, source</w:t>
      </w:r>
    </w:p>
    <w:p w14:paraId="76C67964" w14:textId="77777777" w:rsidR="006A4A36" w:rsidRPr="00C334AA" w:rsidRDefault="00796095" w:rsidP="00A707EE">
      <w:pPr>
        <w:jc w:val="both"/>
        <w:rPr>
          <w:sz w:val="24"/>
          <w:szCs w:val="24"/>
        </w:rPr>
      </w:pPr>
      <w:r>
        <w:rPr>
          <w:sz w:val="24"/>
          <w:szCs w:val="24"/>
        </w:rPr>
        <w:t xml:space="preserve">Interpretation of the Figure Nr.2: </w:t>
      </w:r>
      <w:r w:rsidR="00C334AA" w:rsidRPr="00C334AA">
        <w:rPr>
          <w:sz w:val="24"/>
          <w:szCs w:val="24"/>
        </w:rPr>
        <w:t xml:space="preserve">In 2001, a public report announced that high dioxin levels were detected in Belgians' blood plasma compared to other European populations (The Dioxin affair was a political crisis that struck in Belgium during the spring of 1999. Contamination of feedstock with polychlorinated biphenyls (PCB) was detected in animal food products, mainly eggs and chickens.) </w:t>
      </w:r>
    </w:p>
    <w:p w14:paraId="372BD9DB" w14:textId="77777777" w:rsidR="006A4A36" w:rsidRDefault="006A4A36" w:rsidP="00A707EE">
      <w:pPr>
        <w:jc w:val="both"/>
      </w:pPr>
      <w:r w:rsidRPr="006A4A36">
        <w:rPr>
          <w:noProof/>
        </w:rPr>
        <w:drawing>
          <wp:inline distT="0" distB="0" distL="0" distR="0" wp14:anchorId="1A3F2A01" wp14:editId="043B26B5">
            <wp:extent cx="5943600" cy="165354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53540"/>
                    </a:xfrm>
                    <a:prstGeom prst="rect">
                      <a:avLst/>
                    </a:prstGeom>
                  </pic:spPr>
                </pic:pic>
              </a:graphicData>
            </a:graphic>
          </wp:inline>
        </w:drawing>
      </w:r>
    </w:p>
    <w:p w14:paraId="28516906" w14:textId="77777777" w:rsidR="00796095" w:rsidRDefault="00796095" w:rsidP="00A707EE">
      <w:pPr>
        <w:spacing w:line="276" w:lineRule="auto"/>
        <w:jc w:val="both"/>
        <w:rPr>
          <w:sz w:val="24"/>
          <w:szCs w:val="24"/>
        </w:rPr>
      </w:pPr>
      <w:r>
        <w:rPr>
          <w:sz w:val="24"/>
          <w:szCs w:val="24"/>
        </w:rPr>
        <w:t>Figure Nr.3 – title, source</w:t>
      </w:r>
    </w:p>
    <w:p w14:paraId="5636C313" w14:textId="77777777" w:rsidR="00C76DA4" w:rsidRPr="00F65576" w:rsidRDefault="00796095" w:rsidP="00A707EE">
      <w:pPr>
        <w:spacing w:line="276" w:lineRule="auto"/>
        <w:jc w:val="both"/>
        <w:rPr>
          <w:sz w:val="24"/>
          <w:szCs w:val="24"/>
        </w:rPr>
      </w:pPr>
      <w:r>
        <w:rPr>
          <w:sz w:val="24"/>
          <w:szCs w:val="24"/>
        </w:rPr>
        <w:t xml:space="preserve">Interpretation of the Figure Nr.3: </w:t>
      </w:r>
      <w:r w:rsidR="00C76DA4" w:rsidRPr="00F65576">
        <w:rPr>
          <w:sz w:val="24"/>
          <w:szCs w:val="24"/>
        </w:rPr>
        <w:t>Belgium experiences some of the most congested traffic in Europe. In 2010, commuters to the cities of Brussels and Antwerp spent respectively 65 and 64 hours a year in traffic jams. Like in most small European countries, more than 80% of the airways traffic is handled by a single airport, the Brussels Airport. The ports of Antwerp and Zeebrugge (Bruges) share more than 80% of Belgian maritime traffic, Antwerp being the second European harbor with a gross weight of goods handled of 115 988 000 t in 2000 after a growth of 10.9% over the preceding five years.</w:t>
      </w:r>
    </w:p>
    <w:p w14:paraId="0DE69D14" w14:textId="77777777" w:rsidR="00C76DA4" w:rsidRDefault="00C76DA4" w:rsidP="00A707EE">
      <w:pPr>
        <w:jc w:val="both"/>
      </w:pPr>
    </w:p>
    <w:p w14:paraId="6324AE54" w14:textId="77777777" w:rsidR="006A4A36" w:rsidRDefault="006A4A36" w:rsidP="00A707EE">
      <w:pPr>
        <w:jc w:val="both"/>
      </w:pPr>
    </w:p>
    <w:p w14:paraId="1140B0D9" w14:textId="77777777" w:rsidR="006A4A36" w:rsidRDefault="006A4A36" w:rsidP="00A707EE">
      <w:pPr>
        <w:jc w:val="both"/>
      </w:pPr>
      <w:r w:rsidRPr="006A4A36">
        <w:rPr>
          <w:noProof/>
        </w:rPr>
        <w:lastRenderedPageBreak/>
        <w:drawing>
          <wp:inline distT="0" distB="0" distL="0" distR="0" wp14:anchorId="6C48A606" wp14:editId="3A161DD4">
            <wp:extent cx="5943600" cy="16510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51000"/>
                    </a:xfrm>
                    <a:prstGeom prst="rect">
                      <a:avLst/>
                    </a:prstGeom>
                  </pic:spPr>
                </pic:pic>
              </a:graphicData>
            </a:graphic>
          </wp:inline>
        </w:drawing>
      </w:r>
    </w:p>
    <w:p w14:paraId="79CD309F" w14:textId="77777777" w:rsidR="00796095" w:rsidRDefault="00796095" w:rsidP="00A707EE">
      <w:pPr>
        <w:spacing w:line="276" w:lineRule="auto"/>
        <w:jc w:val="both"/>
        <w:rPr>
          <w:sz w:val="24"/>
          <w:szCs w:val="24"/>
        </w:rPr>
      </w:pPr>
      <w:r>
        <w:rPr>
          <w:sz w:val="24"/>
          <w:szCs w:val="24"/>
        </w:rPr>
        <w:t>Figure Nr.4 – title, source</w:t>
      </w:r>
    </w:p>
    <w:p w14:paraId="4FCF4204" w14:textId="77777777" w:rsidR="00796095" w:rsidRDefault="00796095" w:rsidP="00A707EE">
      <w:pPr>
        <w:jc w:val="both"/>
        <w:rPr>
          <w:sz w:val="24"/>
          <w:szCs w:val="24"/>
        </w:rPr>
      </w:pPr>
      <w:r>
        <w:rPr>
          <w:sz w:val="24"/>
          <w:szCs w:val="24"/>
        </w:rPr>
        <w:t>Interpretation of the Figure Nr.4:</w:t>
      </w:r>
      <w:r w:rsidR="002F7E35">
        <w:rPr>
          <w:sz w:val="24"/>
          <w:szCs w:val="24"/>
        </w:rPr>
        <w:t xml:space="preserve"> </w:t>
      </w:r>
    </w:p>
    <w:p w14:paraId="5D246FD7" w14:textId="77777777" w:rsidR="002F7E35" w:rsidRDefault="002F7E35" w:rsidP="00A707EE">
      <w:pPr>
        <w:jc w:val="both"/>
        <w:rPr>
          <w:sz w:val="24"/>
          <w:szCs w:val="24"/>
        </w:rPr>
      </w:pPr>
      <w:r w:rsidRPr="002F7E35">
        <w:rPr>
          <w:sz w:val="24"/>
          <w:szCs w:val="24"/>
        </w:rPr>
        <w:t>T</w:t>
      </w:r>
      <w:r w:rsidRPr="00847336">
        <w:rPr>
          <w:sz w:val="24"/>
          <w:szCs w:val="24"/>
        </w:rPr>
        <w:t>his naive scenario is q</w:t>
      </w:r>
      <w:r>
        <w:rPr>
          <w:sz w:val="24"/>
          <w:szCs w:val="24"/>
        </w:rPr>
        <w:t xml:space="preserve">uite </w:t>
      </w:r>
      <w:proofErr w:type="gramStart"/>
      <w:r>
        <w:rPr>
          <w:sz w:val="24"/>
          <w:szCs w:val="24"/>
        </w:rPr>
        <w:t>good</w:t>
      </w:r>
      <w:proofErr w:type="gramEnd"/>
      <w:r>
        <w:rPr>
          <w:sz w:val="24"/>
          <w:szCs w:val="24"/>
        </w:rPr>
        <w:t xml:space="preserve"> but we can notice a little crisis in the earlier of 1978-1979. </w:t>
      </w:r>
      <w:r w:rsidRPr="002F7E35">
        <w:rPr>
          <w:sz w:val="24"/>
          <w:szCs w:val="24"/>
        </w:rPr>
        <w:t>Belgium's political crisis may indeed be protracted, but it is by no means unconstitutional or unusual. In 1978-79 putting in place a new government took 106 days, in 1987 it took 148 days and in 2007 seven months were required.</w:t>
      </w:r>
    </w:p>
    <w:p w14:paraId="59E36385" w14:textId="77777777" w:rsidR="002F7E35" w:rsidRPr="002F7E35" w:rsidRDefault="002F7E35" w:rsidP="00A707EE">
      <w:pPr>
        <w:jc w:val="both"/>
      </w:pPr>
    </w:p>
    <w:p w14:paraId="036DCC0C" w14:textId="77777777" w:rsidR="006A4A36" w:rsidRPr="00847336" w:rsidRDefault="006A4A36" w:rsidP="00A707EE">
      <w:pPr>
        <w:jc w:val="both"/>
        <w:rPr>
          <w:lang w:val="fr-FR"/>
        </w:rPr>
      </w:pPr>
      <w:r w:rsidRPr="006A4A36">
        <w:rPr>
          <w:noProof/>
        </w:rPr>
        <w:drawing>
          <wp:inline distT="0" distB="0" distL="0" distR="0" wp14:anchorId="7D832C59" wp14:editId="2C494679">
            <wp:extent cx="5943600" cy="17214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1485"/>
                    </a:xfrm>
                    <a:prstGeom prst="rect">
                      <a:avLst/>
                    </a:prstGeom>
                  </pic:spPr>
                </pic:pic>
              </a:graphicData>
            </a:graphic>
          </wp:inline>
        </w:drawing>
      </w:r>
      <w:r w:rsidRPr="00847336">
        <w:rPr>
          <w:lang w:val="fr-FR"/>
        </w:rPr>
        <w:t xml:space="preserve"> </w:t>
      </w:r>
    </w:p>
    <w:p w14:paraId="26399CF6" w14:textId="77777777" w:rsidR="00796095" w:rsidRPr="00847336" w:rsidRDefault="00796095" w:rsidP="00A707EE">
      <w:pPr>
        <w:spacing w:line="276" w:lineRule="auto"/>
        <w:jc w:val="both"/>
        <w:rPr>
          <w:sz w:val="24"/>
          <w:szCs w:val="24"/>
          <w:lang w:val="fr-FR"/>
        </w:rPr>
      </w:pPr>
      <w:r w:rsidRPr="00847336">
        <w:rPr>
          <w:sz w:val="24"/>
          <w:szCs w:val="24"/>
          <w:lang w:val="fr-FR"/>
        </w:rPr>
        <w:t>Figure Nr.5 – title, source</w:t>
      </w:r>
    </w:p>
    <w:p w14:paraId="0B47507A" w14:textId="77777777" w:rsidR="00F65576" w:rsidRPr="00F65576" w:rsidRDefault="00796095" w:rsidP="00A707EE">
      <w:pPr>
        <w:spacing w:line="276" w:lineRule="auto"/>
        <w:jc w:val="both"/>
        <w:rPr>
          <w:sz w:val="24"/>
          <w:szCs w:val="24"/>
        </w:rPr>
      </w:pPr>
      <w:r>
        <w:rPr>
          <w:sz w:val="24"/>
          <w:szCs w:val="24"/>
        </w:rPr>
        <w:t xml:space="preserve">Interpretation of the Figure Nr.5: </w:t>
      </w:r>
      <w:r w:rsidR="00F65576" w:rsidRPr="00F65576">
        <w:rPr>
          <w:sz w:val="24"/>
          <w:szCs w:val="24"/>
        </w:rPr>
        <w:t>By the end of the 1980s, Belgian macroeconomic policies had resulted in a cumulative government debt of about 120% of GDP. As of 2006, the budget was balanced and public debt was equal to 90.30% of GDP.[106] In 2005 and 2006, real GDP growth rates of 1.5% and 3.0%, respectively, were slightly above the average for the Euro area. Unemployment rates of 8.4% in 2005 and 8.2% in 2006 were close to the area average. By October 2010, this had grown to 8.5% compared to an average rate of 9.6% for the European Union as a whole (EU 27).</w:t>
      </w:r>
      <w:r>
        <w:rPr>
          <w:sz w:val="24"/>
          <w:szCs w:val="24"/>
        </w:rPr>
        <w:t xml:space="preserve"> </w:t>
      </w:r>
      <w:r w:rsidR="00F65576" w:rsidRPr="00F65576">
        <w:rPr>
          <w:sz w:val="24"/>
          <w:szCs w:val="24"/>
        </w:rPr>
        <w:t>From 1832 until 2002, Belgium's currency was the Belgian franc. Belgium switched to the euro in 2002, with the first sets of euro coins being minted in 1999. The standard Belgian euro coins designated for circulation show the portrait of the monarch (first King Albert II, since 2013 King Philippe).</w:t>
      </w:r>
    </w:p>
    <w:p w14:paraId="49E71A42" w14:textId="77777777" w:rsidR="00796095" w:rsidRDefault="00796095" w:rsidP="00A707EE">
      <w:pPr>
        <w:jc w:val="both"/>
        <w:rPr>
          <w:sz w:val="24"/>
          <w:szCs w:val="24"/>
        </w:rPr>
      </w:pPr>
      <w:r>
        <w:rPr>
          <w:sz w:val="24"/>
          <w:szCs w:val="24"/>
        </w:rPr>
        <w:br w:type="page"/>
      </w:r>
    </w:p>
    <w:p w14:paraId="41E729D2" w14:textId="77777777" w:rsidR="00F65576" w:rsidRDefault="00796095" w:rsidP="00A707EE">
      <w:pPr>
        <w:spacing w:line="276" w:lineRule="auto"/>
        <w:jc w:val="both"/>
        <w:rPr>
          <w:sz w:val="24"/>
          <w:szCs w:val="24"/>
        </w:rPr>
      </w:pPr>
      <w:r>
        <w:rPr>
          <w:noProof/>
        </w:rPr>
        <w:lastRenderedPageBreak/>
        <w:drawing>
          <wp:inline distT="0" distB="0" distL="0" distR="0" wp14:anchorId="1221586A" wp14:editId="2C81A799">
            <wp:extent cx="6261100" cy="7429500"/>
            <wp:effectExtent l="0" t="0" r="635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1100" cy="7429500"/>
                    </a:xfrm>
                    <a:prstGeom prst="rect">
                      <a:avLst/>
                    </a:prstGeom>
                  </pic:spPr>
                </pic:pic>
              </a:graphicData>
            </a:graphic>
          </wp:inline>
        </w:drawing>
      </w:r>
    </w:p>
    <w:p w14:paraId="5C3C40F1" w14:textId="77777777" w:rsidR="00796095" w:rsidRDefault="00796095" w:rsidP="00A707EE">
      <w:pPr>
        <w:spacing w:line="276" w:lineRule="auto"/>
        <w:jc w:val="both"/>
        <w:rPr>
          <w:sz w:val="24"/>
          <w:szCs w:val="24"/>
        </w:rPr>
      </w:pPr>
      <w:r>
        <w:rPr>
          <w:sz w:val="24"/>
          <w:szCs w:val="24"/>
        </w:rPr>
        <w:t>Figure Nr.6: Searching for patterns (source: own presentation)</w:t>
      </w:r>
    </w:p>
    <w:p w14:paraId="0E944DB9" w14:textId="4F9394B1" w:rsidR="00796095" w:rsidRDefault="00796095" w:rsidP="00A707EE">
      <w:pPr>
        <w:spacing w:line="276" w:lineRule="auto"/>
        <w:jc w:val="both"/>
        <w:rPr>
          <w:sz w:val="24"/>
          <w:szCs w:val="24"/>
        </w:rPr>
      </w:pPr>
      <w:r>
        <w:rPr>
          <w:sz w:val="24"/>
          <w:szCs w:val="24"/>
        </w:rPr>
        <w:lastRenderedPageBreak/>
        <w:t xml:space="preserve">Interpretation of the Figure Nr.6: </w:t>
      </w:r>
      <w:r w:rsidR="00A3025E">
        <w:rPr>
          <w:sz w:val="24"/>
          <w:szCs w:val="24"/>
        </w:rPr>
        <w:t xml:space="preserve">The central question of the Food-Kaleidoscope is whether critical periods/years in case of a given country (here and now: Belgium) can be derived </w:t>
      </w:r>
      <w:r w:rsidR="00A76F66">
        <w:rPr>
          <w:sz w:val="24"/>
          <w:szCs w:val="24"/>
        </w:rPr>
        <w:t xml:space="preserve">in an automated </w:t>
      </w:r>
      <w:r w:rsidR="00A3025E">
        <w:rPr>
          <w:sz w:val="24"/>
          <w:szCs w:val="24"/>
        </w:rPr>
        <w:t>so that the all figures or</w:t>
      </w:r>
      <w:r w:rsidR="00A76F66">
        <w:rPr>
          <w:sz w:val="24"/>
          <w:szCs w:val="24"/>
        </w:rPr>
        <w:t xml:space="preserve"> at least</w:t>
      </w:r>
      <w:r w:rsidR="00A3025E">
        <w:rPr>
          <w:sz w:val="24"/>
          <w:szCs w:val="24"/>
        </w:rPr>
        <w:t xml:space="preserve"> the most of </w:t>
      </w:r>
      <w:r w:rsidR="00A76F66">
        <w:rPr>
          <w:sz w:val="24"/>
          <w:szCs w:val="24"/>
        </w:rPr>
        <w:t xml:space="preserve">the </w:t>
      </w:r>
      <w:r w:rsidR="00A3025E">
        <w:rPr>
          <w:sz w:val="24"/>
          <w:szCs w:val="24"/>
        </w:rPr>
        <w:t xml:space="preserve">figures </w:t>
      </w:r>
      <w:r w:rsidR="00A76F66">
        <w:rPr>
          <w:sz w:val="24"/>
          <w:szCs w:val="24"/>
        </w:rPr>
        <w:t xml:space="preserve">highlight the same years/periods as critical ones. </w:t>
      </w:r>
      <w:r w:rsidR="00A76F66" w:rsidRPr="00A76F66">
        <w:rPr>
          <w:sz w:val="24"/>
          <w:szCs w:val="24"/>
          <w:highlight w:val="yellow"/>
        </w:rPr>
        <w:t>Based on the Figure Nr.6</w:t>
      </w:r>
      <w:r w:rsidR="00CD3B7C">
        <w:rPr>
          <w:sz w:val="24"/>
          <w:szCs w:val="24"/>
          <w:highlight w:val="yellow"/>
        </w:rPr>
        <w:t xml:space="preserve"> and on the parallel cases of Congo/Pakistan/Japan/Hungary</w:t>
      </w:r>
      <w:r w:rsidR="00A76F66" w:rsidRPr="00A76F66">
        <w:rPr>
          <w:sz w:val="24"/>
          <w:szCs w:val="24"/>
          <w:highlight w:val="yellow"/>
        </w:rPr>
        <w:t>, it was not possible to identify such years/periods</w:t>
      </w:r>
      <w:r w:rsidR="00004E0A">
        <w:rPr>
          <w:sz w:val="24"/>
          <w:szCs w:val="24"/>
        </w:rPr>
        <w:t>!</w:t>
      </w:r>
      <w:r w:rsidR="00004E0A">
        <w:rPr>
          <w:sz w:val="24"/>
          <w:szCs w:val="24"/>
        </w:rPr>
        <w:t xml:space="preserve"> </w:t>
      </w:r>
    </w:p>
    <w:p w14:paraId="3966A17E" w14:textId="725C6FF8" w:rsidR="00004E0A" w:rsidRDefault="00004E0A" w:rsidP="00004E0A">
      <w:pPr>
        <w:spacing w:line="276" w:lineRule="auto"/>
        <w:jc w:val="both"/>
        <w:rPr>
          <w:sz w:val="28"/>
          <w:szCs w:val="28"/>
        </w:rPr>
      </w:pPr>
      <w:r>
        <w:rPr>
          <w:sz w:val="28"/>
          <w:szCs w:val="28"/>
        </w:rPr>
        <w:t xml:space="preserve">Control questions: </w:t>
      </w:r>
    </w:p>
    <w:p w14:paraId="0455754B" w14:textId="2D51E262" w:rsidR="00847336" w:rsidRDefault="00847336" w:rsidP="00004E0A">
      <w:pPr>
        <w:spacing w:line="276" w:lineRule="auto"/>
        <w:jc w:val="both"/>
        <w:rPr>
          <w:sz w:val="28"/>
          <w:szCs w:val="28"/>
        </w:rPr>
      </w:pPr>
      <w:r>
        <w:rPr>
          <w:sz w:val="28"/>
          <w:szCs w:val="28"/>
        </w:rPr>
        <w:t>Does the year demonstrate any similarities where e.g. the GDP has a huge positive peak if the step1-2-3+naïve figures are interpreted in a visual way?</w:t>
      </w:r>
    </w:p>
    <w:p w14:paraId="558FF7C5" w14:textId="6B172229" w:rsidR="00847336" w:rsidRDefault="00847336" w:rsidP="00A707EE">
      <w:pPr>
        <w:spacing w:line="276" w:lineRule="auto"/>
        <w:jc w:val="both"/>
        <w:rPr>
          <w:sz w:val="28"/>
          <w:szCs w:val="28"/>
        </w:rPr>
      </w:pPr>
      <w:r>
        <w:rPr>
          <w:sz w:val="28"/>
          <w:szCs w:val="28"/>
        </w:rPr>
        <w:t>Do the years demonstrate any similarities where e.g. the GDP has negative peaks if the step1-2-3+naïve figures are interpreted in a visual way?</w:t>
      </w:r>
    </w:p>
    <w:p w14:paraId="71867D4C" w14:textId="719C420B" w:rsidR="00192126" w:rsidRDefault="00192126" w:rsidP="00A707EE">
      <w:pPr>
        <w:spacing w:line="276" w:lineRule="auto"/>
        <w:jc w:val="both"/>
        <w:rPr>
          <w:sz w:val="28"/>
          <w:szCs w:val="28"/>
        </w:rPr>
      </w:pPr>
      <w:r>
        <w:rPr>
          <w:sz w:val="28"/>
          <w:szCs w:val="28"/>
        </w:rPr>
        <w:t xml:space="preserve">The transparent red “windows” </w:t>
      </w:r>
      <w:r w:rsidR="00004E0A">
        <w:rPr>
          <w:sz w:val="28"/>
          <w:szCs w:val="28"/>
        </w:rPr>
        <w:t>do not make possible to identify patterns.</w:t>
      </w:r>
    </w:p>
    <w:p w14:paraId="63ED7BD4" w14:textId="5A741EC0" w:rsidR="00192126" w:rsidRDefault="00192126" w:rsidP="00A707EE">
      <w:pPr>
        <w:spacing w:line="276" w:lineRule="auto"/>
        <w:jc w:val="both"/>
        <w:rPr>
          <w:sz w:val="28"/>
          <w:szCs w:val="28"/>
        </w:rPr>
      </w:pPr>
      <w:r>
        <w:rPr>
          <w:sz w:val="28"/>
          <w:szCs w:val="28"/>
        </w:rPr>
        <w:t>The answer-options are simple:</w:t>
      </w:r>
    </w:p>
    <w:p w14:paraId="33CC8E22" w14:textId="245BDD29" w:rsidR="00192126" w:rsidRDefault="00192126" w:rsidP="00A707EE">
      <w:pPr>
        <w:pStyle w:val="Listaszerbekezds"/>
        <w:numPr>
          <w:ilvl w:val="0"/>
          <w:numId w:val="1"/>
        </w:numPr>
        <w:spacing w:line="276" w:lineRule="auto"/>
        <w:jc w:val="both"/>
        <w:rPr>
          <w:sz w:val="28"/>
          <w:szCs w:val="28"/>
        </w:rPr>
      </w:pPr>
      <w:r>
        <w:rPr>
          <w:sz w:val="28"/>
          <w:szCs w:val="28"/>
        </w:rPr>
        <w:t>Yes, there is/are rule-like pattern(s)! Which? Why?</w:t>
      </w:r>
    </w:p>
    <w:p w14:paraId="193AF00B" w14:textId="5AF8F2E8" w:rsidR="00192126" w:rsidRPr="00A707EE" w:rsidRDefault="00192126" w:rsidP="00A707EE">
      <w:pPr>
        <w:pStyle w:val="Listaszerbekezds"/>
        <w:numPr>
          <w:ilvl w:val="0"/>
          <w:numId w:val="1"/>
        </w:numPr>
        <w:spacing w:line="276" w:lineRule="auto"/>
        <w:jc w:val="both"/>
        <w:rPr>
          <w:b/>
          <w:bCs/>
          <w:sz w:val="28"/>
          <w:szCs w:val="28"/>
        </w:rPr>
      </w:pPr>
      <w:r w:rsidRPr="00A707EE">
        <w:rPr>
          <w:b/>
          <w:bCs/>
          <w:sz w:val="28"/>
          <w:szCs w:val="28"/>
        </w:rPr>
        <w:t xml:space="preserve">No, there is/are no pattern(s) to see! </w:t>
      </w:r>
    </w:p>
    <w:p w14:paraId="3D857F60" w14:textId="77777777" w:rsidR="00847336" w:rsidRPr="00847336" w:rsidRDefault="00847336" w:rsidP="00004E0A">
      <w:pPr>
        <w:spacing w:line="276" w:lineRule="auto"/>
        <w:jc w:val="both"/>
        <w:rPr>
          <w:sz w:val="28"/>
          <w:szCs w:val="28"/>
        </w:rPr>
      </w:pPr>
    </w:p>
    <w:p w14:paraId="1899CCFB" w14:textId="1B8B8AD2" w:rsidR="00796095" w:rsidRDefault="00796095" w:rsidP="00A707EE">
      <w:pPr>
        <w:pStyle w:val="Cmsor1"/>
        <w:jc w:val="both"/>
      </w:pPr>
      <w:r>
        <w:t>Discussions</w:t>
      </w:r>
    </w:p>
    <w:p w14:paraId="53595A47" w14:textId="12B93065" w:rsidR="00192126" w:rsidRPr="00192126" w:rsidRDefault="00192126" w:rsidP="00A707EE">
      <w:pPr>
        <w:jc w:val="both"/>
      </w:pPr>
      <w:r>
        <w:t>Should be existing patterns in case of each countries?</w:t>
      </w:r>
      <w:r w:rsidR="00004E0A">
        <w:t xml:space="preserve"> No, a good methodology should be capable of being muted.</w:t>
      </w:r>
    </w:p>
    <w:p w14:paraId="5F59774C" w14:textId="734046D5" w:rsidR="00796095" w:rsidRDefault="00796095" w:rsidP="00A707EE">
      <w:pPr>
        <w:pStyle w:val="Cmsor1"/>
        <w:jc w:val="both"/>
      </w:pPr>
      <w:r>
        <w:t>Conclusions</w:t>
      </w:r>
    </w:p>
    <w:p w14:paraId="03EA4A86" w14:textId="473AD7C7" w:rsidR="00192126" w:rsidRPr="00192126" w:rsidRDefault="00192126" w:rsidP="00A707EE">
      <w:pPr>
        <w:jc w:val="both"/>
      </w:pPr>
      <w:r>
        <w:t>Is it good, if we could not identify patterns in case of a given country compared to other cases?</w:t>
      </w:r>
      <w:r w:rsidR="00004E0A">
        <w:t xml:space="preserve"> Yes, this characteristic is an important extreme value for Turing-tests.</w:t>
      </w:r>
    </w:p>
    <w:p w14:paraId="06428EB5" w14:textId="106DD019" w:rsidR="008A4188" w:rsidRDefault="008A4188" w:rsidP="00A707EE">
      <w:pPr>
        <w:pStyle w:val="Cmsor1"/>
        <w:jc w:val="both"/>
      </w:pPr>
      <w:r>
        <w:t>References</w:t>
      </w:r>
    </w:p>
    <w:p w14:paraId="37DDBCC1" w14:textId="5F4075F4" w:rsidR="00B241BE" w:rsidRPr="00192126" w:rsidRDefault="00B241BE" w:rsidP="00A707EE">
      <w:pPr>
        <w:jc w:val="both"/>
      </w:pPr>
      <w:hyperlink r:id="rId16" w:history="1">
        <w:r>
          <w:rPr>
            <w:rStyle w:val="Hiperhivatkozs"/>
          </w:rPr>
          <w:t>https://miau.my-x.hu/miau/261/?C=M;O=D</w:t>
        </w:r>
      </w:hyperlink>
      <w:hyperlink r:id="rId17" w:history="1">
        <w:r>
          <w:rPr>
            <w:rStyle w:val="Hiperhivatkozs"/>
          </w:rPr>
          <w:t>https://miau.my-x.hu/miau/quilt/2020/food_project/?C=M;O=D</w:t>
        </w:r>
      </w:hyperlink>
    </w:p>
    <w:p w14:paraId="5F6FDFB1" w14:textId="3829E9C9" w:rsidR="008A4188" w:rsidRPr="008A4188" w:rsidRDefault="008A4188" w:rsidP="00A707EE">
      <w:pPr>
        <w:jc w:val="both"/>
      </w:pPr>
    </w:p>
    <w:sectPr w:rsidR="008A4188" w:rsidRPr="008A4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61E6B"/>
    <w:multiLevelType w:val="hybridMultilevel"/>
    <w:tmpl w:val="9E78C74C"/>
    <w:lvl w:ilvl="0" w:tplc="A4CC9F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36"/>
    <w:rsid w:val="00004E0A"/>
    <w:rsid w:val="001870F7"/>
    <w:rsid w:val="00192126"/>
    <w:rsid w:val="002F7E35"/>
    <w:rsid w:val="003814A5"/>
    <w:rsid w:val="00391665"/>
    <w:rsid w:val="003C099C"/>
    <w:rsid w:val="0043484A"/>
    <w:rsid w:val="00455826"/>
    <w:rsid w:val="005159F9"/>
    <w:rsid w:val="005F77AE"/>
    <w:rsid w:val="006461FF"/>
    <w:rsid w:val="006A4A36"/>
    <w:rsid w:val="00782939"/>
    <w:rsid w:val="00796095"/>
    <w:rsid w:val="0082707A"/>
    <w:rsid w:val="00847336"/>
    <w:rsid w:val="008A4188"/>
    <w:rsid w:val="00924CCD"/>
    <w:rsid w:val="00A3025E"/>
    <w:rsid w:val="00A707EE"/>
    <w:rsid w:val="00A76F66"/>
    <w:rsid w:val="00B04DB9"/>
    <w:rsid w:val="00B12EB9"/>
    <w:rsid w:val="00B241BE"/>
    <w:rsid w:val="00B60D9E"/>
    <w:rsid w:val="00C334AA"/>
    <w:rsid w:val="00C76DA4"/>
    <w:rsid w:val="00CD3B7C"/>
    <w:rsid w:val="00E11E11"/>
    <w:rsid w:val="00E95DB0"/>
    <w:rsid w:val="00EB58C4"/>
    <w:rsid w:val="00F47A13"/>
    <w:rsid w:val="00F65576"/>
    <w:rsid w:val="00FA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FD8C"/>
  <w15:chartTrackingRefBased/>
  <w15:docId w15:val="{29B199B2-1980-40DE-98BD-89AC7BB3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A4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EB58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95DB0"/>
    <w:rPr>
      <w:color w:val="0563C1" w:themeColor="hyperlink"/>
      <w:u w:val="single"/>
    </w:rPr>
  </w:style>
  <w:style w:type="character" w:styleId="Feloldatlanmegemlts">
    <w:name w:val="Unresolved Mention"/>
    <w:basedOn w:val="Bekezdsalapbettpusa"/>
    <w:uiPriority w:val="99"/>
    <w:semiHidden/>
    <w:unhideWhenUsed/>
    <w:rsid w:val="00E95DB0"/>
    <w:rPr>
      <w:color w:val="605E5C"/>
      <w:shd w:val="clear" w:color="auto" w:fill="E1DFDD"/>
    </w:rPr>
  </w:style>
  <w:style w:type="paragraph" w:styleId="Cm">
    <w:name w:val="Title"/>
    <w:basedOn w:val="Norml"/>
    <w:next w:val="Norml"/>
    <w:link w:val="CmChar"/>
    <w:uiPriority w:val="10"/>
    <w:qFormat/>
    <w:rsid w:val="008A41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A4188"/>
    <w:rPr>
      <w:rFonts w:asciiTheme="majorHAnsi" w:eastAsiaTheme="majorEastAsia" w:hAnsiTheme="majorHAnsi" w:cstheme="majorBidi"/>
      <w:spacing w:val="-10"/>
      <w:kern w:val="28"/>
      <w:sz w:val="56"/>
      <w:szCs w:val="56"/>
    </w:rPr>
  </w:style>
  <w:style w:type="paragraph" w:styleId="Buborkszveg">
    <w:name w:val="Balloon Text"/>
    <w:basedOn w:val="Norml"/>
    <w:link w:val="BuborkszvegChar"/>
    <w:uiPriority w:val="99"/>
    <w:semiHidden/>
    <w:unhideWhenUsed/>
    <w:rsid w:val="008A418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A4188"/>
    <w:rPr>
      <w:rFonts w:ascii="Segoe UI" w:hAnsi="Segoe UI" w:cs="Segoe UI"/>
      <w:sz w:val="18"/>
      <w:szCs w:val="18"/>
    </w:rPr>
  </w:style>
  <w:style w:type="character" w:customStyle="1" w:styleId="Cmsor1Char">
    <w:name w:val="Címsor 1 Char"/>
    <w:basedOn w:val="Bekezdsalapbettpusa"/>
    <w:link w:val="Cmsor1"/>
    <w:uiPriority w:val="9"/>
    <w:rsid w:val="008A4188"/>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EB58C4"/>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192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au.my-x.hu/miau/quilt/2020/food_project/?C=M;O=D" TargetMode="External"/><Relationship Id="rId12" Type="http://schemas.openxmlformats.org/officeDocument/2006/relationships/image" Target="media/image3.png"/><Relationship Id="rId17" Type="http://schemas.openxmlformats.org/officeDocument/2006/relationships/hyperlink" Target="https://miau.my-x.hu/miau/quilt/2020/food_project/?C=M;O=D" TargetMode="External"/><Relationship Id="rId2" Type="http://schemas.openxmlformats.org/officeDocument/2006/relationships/styles" Target="styles.xml"/><Relationship Id="rId16" Type="http://schemas.openxmlformats.org/officeDocument/2006/relationships/hyperlink" Target="https://miau.my-x.hu/miau/261/?C=M;O=D" TargetMode="External"/><Relationship Id="rId1" Type="http://schemas.openxmlformats.org/officeDocument/2006/relationships/numbering" Target="numbering.xml"/><Relationship Id="rId6" Type="http://schemas.openxmlformats.org/officeDocument/2006/relationships/hyperlink" Target="https://miau.my-x.hu/miau/quilt/2020/food_project/Belgium_only%20(1).xlsx" TargetMode="External"/><Relationship Id="rId11" Type="http://schemas.openxmlformats.org/officeDocument/2006/relationships/image" Target="media/image2.png"/><Relationship Id="rId5" Type="http://schemas.openxmlformats.org/officeDocument/2006/relationships/hyperlink" Target="https://miau.my-x.hu/miau/261/?C=M;O=D" TargetMode="External"/><Relationship Id="rId15" Type="http://schemas.openxmlformats.org/officeDocument/2006/relationships/image" Target="media/image6.png"/><Relationship Id="rId10" Type="http://schemas.openxmlformats.org/officeDocument/2006/relationships/hyperlink" Target="https://en.wikipedia.org/wiki/Flemish_Diamon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1973_oil_crisis"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1697</Words>
  <Characters>9673</Characters>
  <Application>Microsoft Office Word</Application>
  <DocSecurity>0</DocSecurity>
  <Lines>80</Lines>
  <Paragraphs>22</Paragraphs>
  <ScaleCrop>false</ScaleCrop>
  <HeadingPairs>
    <vt:vector size="4" baseType="variant">
      <vt:variant>
        <vt:lpstr>Cím</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Lttd</cp:lastModifiedBy>
  <cp:revision>3</cp:revision>
  <dcterms:created xsi:type="dcterms:W3CDTF">2020-06-26T14:48:00Z</dcterms:created>
  <dcterms:modified xsi:type="dcterms:W3CDTF">2020-06-26T14:48:00Z</dcterms:modified>
</cp:coreProperties>
</file>