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E112" w14:textId="7FC3367D" w:rsidR="00243429" w:rsidRPr="00243429" w:rsidRDefault="00243429" w:rsidP="005B0E15">
      <w:pPr>
        <w:pStyle w:val="Cm"/>
        <w:jc w:val="both"/>
        <w:rPr>
          <w:lang w:val="hu-HU"/>
        </w:rPr>
      </w:pPr>
      <w:r w:rsidRPr="00243429">
        <w:rPr>
          <w:lang w:val="hu-HU"/>
        </w:rPr>
        <w:t>Ceteris paribus alakzatok racionális polinomjai – hasonlóságelemzéssel</w:t>
      </w:r>
    </w:p>
    <w:p w14:paraId="18E29099" w14:textId="79115C6D" w:rsidR="00243429" w:rsidRDefault="00243429" w:rsidP="005B0E15">
      <w:pPr>
        <w:jc w:val="both"/>
      </w:pPr>
      <w:r>
        <w:t>(Rational polynomial functions as ceteris paribus views – based on similarity analyses)</w:t>
      </w:r>
    </w:p>
    <w:p w14:paraId="2A13C5B3" w14:textId="65D74949" w:rsidR="00243429" w:rsidRPr="00243429" w:rsidRDefault="00243429" w:rsidP="005B0E15">
      <w:pPr>
        <w:jc w:val="both"/>
        <w:rPr>
          <w:lang w:val="hu-HU"/>
        </w:rPr>
      </w:pPr>
      <w:r w:rsidRPr="00243429">
        <w:rPr>
          <w:lang w:val="hu-HU"/>
        </w:rPr>
        <w:t>Pitlik László, Pitlik Marcell (MY-X team)</w:t>
      </w:r>
    </w:p>
    <w:p w14:paraId="0F237234" w14:textId="09908DE8" w:rsidR="00243429" w:rsidRPr="00243429" w:rsidRDefault="00243429" w:rsidP="005B0E15">
      <w:pPr>
        <w:jc w:val="both"/>
        <w:rPr>
          <w:lang w:val="hu-HU"/>
        </w:rPr>
      </w:pPr>
      <w:r w:rsidRPr="00243429">
        <w:rPr>
          <w:lang w:val="hu-HU"/>
        </w:rPr>
        <w:t xml:space="preserve">Kivonat: </w:t>
      </w:r>
      <w:r w:rsidR="0026054B">
        <w:rPr>
          <w:lang w:val="hu-HU"/>
        </w:rPr>
        <w:t xml:space="preserve">A ceteris paribus fogalma olyan filozófiai, rendszerelméleti absztrakció, mely kísérletinek gondolt körülmények között sem igazán értelmezhető (vö. nem lehet kétszer ugyanabba a folyóba lépni: vagyis térben is időben minden változik – nincs olyan létezési forma, mely csak egyetlen egy tulajdonság változását tudná garantálni), de populáció szinten már különösen furcsa matematikai kérdésekhez vezet (vö. Liebig-féle minimum elv egy kukoricaszemre/genomra vs. S-alakú csökkenő hozadék elve tetszőlegesen sok egyed eredőjeként). A ceteris paribus kifejezés emellett nem értelmezhető minden további nélkül a big-data világában, ahol pl. sok-sok kukoricatábla (objektum) esetén lehet egyetlen egy (vö. hasonlóságelemzés), de éppenséggel táblánként más és más ceteris paribus alakzat is (vö. neurális háló). Sőt, a ceteris paribus alakzatoknak táblánként lehet egészen más jellege is (vö. N vs. terméseredmény – futóhomokon, csernozjomon). A cikk mindezek alapján a ceteris paribus fogalmát eleve nem a kísérletes világ, hanem a lehet-e minden másként egyforma elv kapcsán értelmezi – minden kontextust kivéve az X(i) és az Y kapcsolatából azon egyetlen egy hatás kivételével, miszerint illene, hogy az attribútumok iránya létezzen, s a ceteris paribus-nak </w:t>
      </w:r>
      <w:r w:rsidR="00BC3EFC">
        <w:rPr>
          <w:lang w:val="hu-HU"/>
        </w:rPr>
        <w:t>n</w:t>
      </w:r>
      <w:r w:rsidR="0026054B">
        <w:rPr>
          <w:lang w:val="hu-HU"/>
        </w:rPr>
        <w:t>evezhető alakzatok monoton</w:t>
      </w:r>
      <w:r w:rsidR="00BC3EFC">
        <w:rPr>
          <w:lang w:val="hu-HU"/>
        </w:rPr>
        <w:t>o</w:t>
      </w:r>
      <w:r w:rsidR="0026054B">
        <w:rPr>
          <w:lang w:val="hu-HU"/>
        </w:rPr>
        <w:t xml:space="preserve">k legyenek, mert ellenkező esetben egy olimpiai aranyérem érhet kevesebbet, mint pl. egy </w:t>
      </w:r>
      <w:r w:rsidR="008C3667">
        <w:rPr>
          <w:lang w:val="hu-HU"/>
        </w:rPr>
        <w:t>harmadik</w:t>
      </w:r>
      <w:r w:rsidR="0026054B">
        <w:rPr>
          <w:lang w:val="hu-HU"/>
        </w:rPr>
        <w:t xml:space="preserve"> helyezés, ami nehezen értelmezhető rendszerszinten. Mégis különbséget kell tenni a spontán (kontrollálatlanul keletkező) ceteris-paribus-polinomok és az elemi (tervezett/tervezhető) </w:t>
      </w:r>
      <w:r w:rsidR="008C3667">
        <w:rPr>
          <w:lang w:val="hu-HU"/>
        </w:rPr>
        <w:t>input-</w:t>
      </w:r>
      <w:r w:rsidR="0026054B">
        <w:rPr>
          <w:lang w:val="hu-HU"/>
        </w:rPr>
        <w:t>kölcsönhatások eredményeként előállít nem monoton alakzatok között</w:t>
      </w:r>
      <w:r w:rsidR="006066B5">
        <w:rPr>
          <w:lang w:val="hu-HU"/>
        </w:rPr>
        <w:t xml:space="preserve"> (mint ahogy az ebben a cikkben bemutatásra kerül)</w:t>
      </w:r>
      <w:r w:rsidR="0026054B">
        <w:rPr>
          <w:lang w:val="hu-HU"/>
        </w:rPr>
        <w:t>. Különösen ott, ahol az attribútum-irány kapcsán nincs mérés, csak emberi megérzés, ill. rendszerelméleti optimalizálás.</w:t>
      </w:r>
    </w:p>
    <w:p w14:paraId="4B631251" w14:textId="3F647C4D" w:rsidR="00243429" w:rsidRPr="00243429" w:rsidRDefault="00243429" w:rsidP="005B0E15">
      <w:pPr>
        <w:jc w:val="both"/>
        <w:rPr>
          <w:lang w:val="hu-HU"/>
        </w:rPr>
      </w:pPr>
      <w:r w:rsidRPr="00243429">
        <w:rPr>
          <w:lang w:val="hu-HU"/>
        </w:rPr>
        <w:t xml:space="preserve">Kulcsszavak: </w:t>
      </w:r>
      <w:r w:rsidR="00996759">
        <w:rPr>
          <w:lang w:val="hu-HU"/>
        </w:rPr>
        <w:t>függvény, szimmetria, konzisztencia, validitás</w:t>
      </w:r>
      <w:r w:rsidR="003B4E3B">
        <w:rPr>
          <w:lang w:val="hu-HU"/>
        </w:rPr>
        <w:t>, érték-matematika</w:t>
      </w:r>
    </w:p>
    <w:p w14:paraId="42BD0994" w14:textId="7E9339E2" w:rsidR="00243429" w:rsidRDefault="00243429" w:rsidP="005B0E15">
      <w:pPr>
        <w:jc w:val="both"/>
      </w:pPr>
      <w:r>
        <w:t xml:space="preserve">Abstract: </w:t>
      </w:r>
      <w:r w:rsidR="00BC3EFC">
        <w:t xml:space="preserve">The </w:t>
      </w:r>
      <w:r w:rsidR="002539A4">
        <w:t xml:space="preserve">potential </w:t>
      </w:r>
      <w:r w:rsidR="00BC3EFC">
        <w:t>definition of ceteris paribus affects philosophical and/or system-theoretical aspects. The ceteris paribus can not be interpreted in a pure</w:t>
      </w:r>
      <w:r w:rsidR="002539A4">
        <w:t>/exact</w:t>
      </w:r>
      <w:r w:rsidR="00BC3EFC">
        <w:t xml:space="preserve"> form in frame of the </w:t>
      </w:r>
      <w:r w:rsidR="002539A4">
        <w:t xml:space="preserve">so-called </w:t>
      </w:r>
      <w:r w:rsidR="00BC3EFC">
        <w:t>experimental science</w:t>
      </w:r>
      <w:r w:rsidR="002539A4">
        <w:t>s</w:t>
      </w:r>
      <w:r w:rsidR="00BC3EFC">
        <w:t xml:space="preserve"> (c.f. </w:t>
      </w:r>
      <w:r w:rsidR="002539A4" w:rsidRPr="002539A4">
        <w:t>In idem flumen bis non descendimus</w:t>
      </w:r>
      <w:r w:rsidR="002539A4">
        <w:t xml:space="preserve"> – it means: each phenomenon is changing in space and/or time continuously). There is no rule being capable of ensuring that only one single phenomenon will be changed on the input and one single phenomenon on the output site on a real system. </w:t>
      </w:r>
      <w:r w:rsidR="00D25F68">
        <w:t xml:space="preserve">In the world of big-data, the term of ceteris paribus might not be interpreted without massive problems (c.f. it is possible to derive one single ceteris paribus function for N and maize-yield e.g. based on the similarity analyses, but it is also possible to derive for each object (parcel) an own ceteris paribus function with artificial neural networks). </w:t>
      </w:r>
      <w:r w:rsidR="000C070D">
        <w:t xml:space="preserve">Even the form/the character of a ceteris paribus function can be arbitrary different: c.f. </w:t>
      </w:r>
      <w:r w:rsidR="000F2523">
        <w:t xml:space="preserve">soil = sand or soil = chernozem in case of maize). The ceteris paribus functions follow the Liebig-rule (in case of one single individual) and they are sigmoid in case of populations (based on different individuals). </w:t>
      </w:r>
      <w:r w:rsidR="00F44E5D">
        <w:t xml:space="preserve">The paper examines the term of the ceteris paribus in a context free frame, where anti-discriminative evaluation functions will be derived instead of real production functions. </w:t>
      </w:r>
      <w:r w:rsidR="00302782">
        <w:t>The evaluation functions have only one principial expectation: the better status should be evaluated with better scores than the weaker ones.</w:t>
      </w:r>
      <w:r w:rsidR="00644104">
        <w:t xml:space="preserve"> This can also be called as the expectation of the (not strong) monotony of the ceteris paribus functions. </w:t>
      </w:r>
      <w:r w:rsidR="008C3667">
        <w:t xml:space="preserve">Without this monotonous interpretation, a gold medallion could be evaluated as less good, than </w:t>
      </w:r>
      <w:r w:rsidR="0060676A">
        <w:t>for example</w:t>
      </w:r>
      <w:r w:rsidR="008C3667">
        <w:t xml:space="preserve"> a bronze medallion. And this seems to be irrational. On the other hand: it is not the same, if a polynomial ceteris paribus form comes from a wild neural network without any influence of the developers or the polynomial </w:t>
      </w:r>
      <w:r w:rsidR="008C3667">
        <w:lastRenderedPageBreak/>
        <w:t>characteristics can be derived in a plannable way based on specific interactions of the input-data</w:t>
      </w:r>
      <w:r w:rsidR="006066B5">
        <w:t xml:space="preserve"> (c.f. data processing possibilities described here and now). Finally, the direction of attributes (the form of the ceteris paribus functions)</w:t>
      </w:r>
      <w:r w:rsidR="003B4E3B">
        <w:t xml:space="preserve"> can not be “measured”: it is a kind of human preference or probably the result of a complex value-analysis.</w:t>
      </w:r>
    </w:p>
    <w:p w14:paraId="40573E11" w14:textId="2F4B94C2" w:rsidR="00243429" w:rsidRDefault="00243429" w:rsidP="005B0E15">
      <w:pPr>
        <w:jc w:val="both"/>
      </w:pPr>
      <w:r>
        <w:t>Keywords:</w:t>
      </w:r>
      <w:r w:rsidR="00996759">
        <w:t xml:space="preserve"> function, symmetry, consistence, validity</w:t>
      </w:r>
      <w:r w:rsidR="003B4E3B">
        <w:t>, value-mathematics</w:t>
      </w:r>
    </w:p>
    <w:p w14:paraId="1BD31924" w14:textId="2373F0B0" w:rsidR="00243429" w:rsidRPr="00243429" w:rsidRDefault="00243429" w:rsidP="005B0E15">
      <w:pPr>
        <w:pStyle w:val="Cmsor1"/>
        <w:jc w:val="both"/>
        <w:rPr>
          <w:lang w:val="hu-HU"/>
        </w:rPr>
      </w:pPr>
      <w:r w:rsidRPr="00243429">
        <w:rPr>
          <w:lang w:val="hu-HU"/>
        </w:rPr>
        <w:t>Bevezetés</w:t>
      </w:r>
    </w:p>
    <w:p w14:paraId="31E5491C" w14:textId="4EA1C2A2" w:rsidR="00243429" w:rsidRDefault="00F772BD" w:rsidP="005B0E15">
      <w:pPr>
        <w:jc w:val="both"/>
        <w:rPr>
          <w:lang w:val="hu-HU"/>
        </w:rPr>
      </w:pPr>
      <w:r>
        <w:rPr>
          <w:lang w:val="hu-HU"/>
        </w:rPr>
        <w:t xml:space="preserve">Részletek: </w:t>
      </w:r>
      <w:hyperlink r:id="rId6" w:history="1">
        <w:r w:rsidRPr="00F3499F">
          <w:rPr>
            <w:rStyle w:val="Hiperhivatkozs"/>
            <w:lang w:val="hu-HU"/>
          </w:rPr>
          <w:t>https://miau.my-x.hu/miau/267/regresszios_wam_y0_coco_mcm_double.xlsx</w:t>
        </w:r>
      </w:hyperlink>
    </w:p>
    <w:p w14:paraId="0C39D09E" w14:textId="77777777" w:rsidR="0042520E" w:rsidRDefault="00F772BD" w:rsidP="005B0E15">
      <w:pPr>
        <w:jc w:val="both"/>
        <w:rPr>
          <w:lang w:val="hu-HU"/>
        </w:rPr>
      </w:pPr>
      <w:r>
        <w:rPr>
          <w:lang w:val="hu-HU"/>
        </w:rPr>
        <w:t xml:space="preserve">Előzmények: </w:t>
      </w:r>
    </w:p>
    <w:p w14:paraId="12F709D4" w14:textId="77777777" w:rsidR="0042520E" w:rsidRDefault="0042520E" w:rsidP="005B0E1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7" w:history="1">
        <w:r w:rsidRPr="00163629">
          <w:rPr>
            <w:rStyle w:val="Hiperhivatkozs"/>
            <w:lang w:val="hu-HU"/>
          </w:rPr>
          <w:t>https://miau.my-x.hu/miau/268/context_free_hermeneutics.docx</w:t>
        </w:r>
      </w:hyperlink>
      <w:r w:rsidR="00F772BD" w:rsidRPr="0042520E">
        <w:rPr>
          <w:lang w:val="hu-HU"/>
        </w:rPr>
        <w:t xml:space="preserve"> </w:t>
      </w:r>
    </w:p>
    <w:p w14:paraId="7E7D8B62" w14:textId="692FA9BD" w:rsidR="00F772BD" w:rsidRPr="0042520E" w:rsidRDefault="0042520E" w:rsidP="005B0E1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8" w:history="1">
        <w:r w:rsidRPr="00163629">
          <w:rPr>
            <w:rStyle w:val="Hiperhivatkozs"/>
            <w:lang w:val="hu-HU"/>
          </w:rPr>
          <w:t>https://miau.my-x.hu/bprof/2021/ertekek_matematikaja_mathematics_of_values.docx</w:t>
        </w:r>
      </w:hyperlink>
      <w:r w:rsidR="0026054B" w:rsidRPr="0042520E">
        <w:rPr>
          <w:lang w:val="hu-HU"/>
        </w:rPr>
        <w:t xml:space="preserve"> </w:t>
      </w:r>
    </w:p>
    <w:p w14:paraId="16D54B96" w14:textId="0E149411" w:rsidR="00F772BD" w:rsidRDefault="0000169C" w:rsidP="005B0E15">
      <w:pPr>
        <w:jc w:val="both"/>
        <w:rPr>
          <w:lang w:val="hu-HU"/>
        </w:rPr>
      </w:pPr>
      <w:r>
        <w:rPr>
          <w:lang w:val="hu-HU"/>
        </w:rPr>
        <w:t>Az alábbiakban bemutatásra kerül 4 alternatív/párhuzamosan létező megközelítés az objektumok értékazonosságát illetően ezek attribútumai alapján. Az alappélda (OAM = objektum-attribútum-mátrix) a primer attribútum-irányok (preferenciák) alapján nem képes a minden-objektum-másként-egyforma elvet teljesíteni. Az attribútumok és/vagy objektumok megduplázásának context free technikája azonban képes lehet kisebb szórással közelíteni a monoton Y0 értékeket, vagyis a normát</w:t>
      </w:r>
      <w:r w:rsidR="00A424DF">
        <w:rPr>
          <w:lang w:val="hu-HU"/>
        </w:rPr>
        <w:t xml:space="preserve"> – s ráadásul a ceteris paribus alakzatok sem kell, hogy feltétlenül polinomizálódjanak egy-egy attribútum esetén.</w:t>
      </w:r>
    </w:p>
    <w:p w14:paraId="4154DF85" w14:textId="7152F206" w:rsidR="00A424DF" w:rsidRDefault="00A424DF" w:rsidP="005B0E15">
      <w:pPr>
        <w:jc w:val="both"/>
        <w:rPr>
          <w:lang w:val="hu-HU"/>
        </w:rPr>
      </w:pPr>
      <w:r>
        <w:rPr>
          <w:lang w:val="hu-HU"/>
        </w:rPr>
        <w:t xml:space="preserve">Az alternatív (s egyben context free) értelmezési terei az OAM-oknak, egyben a konzisztencia-ellenőrzések eszközei is (vö. pl. </w:t>
      </w:r>
      <w:r>
        <w:rPr>
          <w:lang w:val="hu-HU"/>
        </w:rPr>
        <w:t>transzponálás</w:t>
      </w:r>
      <w:r>
        <w:rPr>
          <w:lang w:val="hu-HU"/>
        </w:rPr>
        <w:t xml:space="preserve"> nyomás nyert árnyékképek, szellemképek, ill. függvény-szimmetriák alapján nyert validitás-vélelmek).</w:t>
      </w:r>
    </w:p>
    <w:p w14:paraId="44EFC1AC" w14:textId="5A87469C" w:rsidR="00814485" w:rsidRDefault="00814485" w:rsidP="005B0E15">
      <w:pPr>
        <w:pStyle w:val="Cmsor1"/>
        <w:jc w:val="both"/>
        <w:rPr>
          <w:lang w:val="hu-HU"/>
        </w:rPr>
      </w:pPr>
      <w:r>
        <w:rPr>
          <w:lang w:val="hu-HU"/>
        </w:rPr>
        <w:t>A modellek</w:t>
      </w:r>
    </w:p>
    <w:p w14:paraId="12ACB9E6" w14:textId="20234814" w:rsidR="00095203" w:rsidRDefault="00095203" w:rsidP="005B0E15">
      <w:pPr>
        <w:jc w:val="both"/>
        <w:rPr>
          <w:lang w:val="hu-HU"/>
        </w:rPr>
      </w:pPr>
      <w:r>
        <w:rPr>
          <w:lang w:val="hu-HU"/>
        </w:rPr>
        <w:t>Az alábbi 5 alfejezetben az alapmodell mellett a négy alternatív megközelítés kerül bemutatásra reprodukálható formában. Ezek az alternatívák a következők:</w:t>
      </w:r>
    </w:p>
    <w:p w14:paraId="0490F1C0" w14:textId="3F4D1DFF" w:rsidR="00095203" w:rsidRDefault="00095203" w:rsidP="005B0E15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Alapmodell-láncok (</w:t>
      </w:r>
      <w:r w:rsidR="007A46D6">
        <w:rPr>
          <w:lang w:val="hu-HU"/>
        </w:rPr>
        <w:t xml:space="preserve">DIL: </w:t>
      </w:r>
      <w:r>
        <w:rPr>
          <w:lang w:val="hu-HU"/>
        </w:rPr>
        <w:t xml:space="preserve">direkt és indirekt értelmezések egymással összevetve, ahol direkt egy értelmezés, </w:t>
      </w:r>
      <w:r w:rsidR="00CD7792">
        <w:rPr>
          <w:lang w:val="hu-HU"/>
        </w:rPr>
        <w:t>ha az attribútum-irányok megfelelnek a humán preferenciáknak és inverz, ha minden irány a primer preferenciák ellentettje.</w:t>
      </w:r>
    </w:p>
    <w:p w14:paraId="3168425A" w14:textId="5FF0F748" w:rsidR="00CD7792" w:rsidRDefault="00CD7792" w:rsidP="005B0E15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Objektum-duplázó modell (DO): ahol egy optimalizálás keretében van megadva a direkt és az inverz modell, azaz a sorok száma nő az alapmodell OAM-jához képest.</w:t>
      </w:r>
    </w:p>
    <w:p w14:paraId="63B6A9E5" w14:textId="5A846473" w:rsidR="00CD7792" w:rsidRDefault="00CD7792" w:rsidP="005B0E15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Attribútum-duplázó modell (DA), </w:t>
      </w:r>
      <w:r>
        <w:rPr>
          <w:lang w:val="hu-HU"/>
        </w:rPr>
        <w:t xml:space="preserve">ahol egy optimalizálás keretében van megadva a direkt és az inverz modell, </w:t>
      </w:r>
      <w:r>
        <w:rPr>
          <w:lang w:val="hu-HU"/>
        </w:rPr>
        <w:t xml:space="preserve">vagyis az oszlopok </w:t>
      </w:r>
      <w:r>
        <w:rPr>
          <w:lang w:val="hu-HU"/>
        </w:rPr>
        <w:t>száma nő az alapmodell OAM-jához képest.</w:t>
      </w:r>
    </w:p>
    <w:p w14:paraId="3F12303D" w14:textId="1060ADFF" w:rsidR="00CD7792" w:rsidRDefault="00CD7792" w:rsidP="005B0E15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Objektum és attribútum duplázó modell (DOA), </w:t>
      </w:r>
      <w:r>
        <w:rPr>
          <w:lang w:val="hu-HU"/>
        </w:rPr>
        <w:t xml:space="preserve">ahol egy optimalizálás keretében van megadva a direkt és az inverz modell, azaz a sorok </w:t>
      </w:r>
      <w:r>
        <w:rPr>
          <w:lang w:val="hu-HU"/>
        </w:rPr>
        <w:t xml:space="preserve">és az oszlopok </w:t>
      </w:r>
      <w:r>
        <w:rPr>
          <w:lang w:val="hu-HU"/>
        </w:rPr>
        <w:t xml:space="preserve">száma </w:t>
      </w:r>
      <w:r>
        <w:rPr>
          <w:lang w:val="hu-HU"/>
        </w:rPr>
        <w:t xml:space="preserve">is </w:t>
      </w:r>
      <w:r>
        <w:rPr>
          <w:lang w:val="hu-HU"/>
        </w:rPr>
        <w:t>nő az alapmodell OAM-jához képest</w:t>
      </w:r>
      <w:r>
        <w:rPr>
          <w:lang w:val="hu-HU"/>
        </w:rPr>
        <w:t xml:space="preserve"> (4 alap OAM = 1 DOA-OAM).</w:t>
      </w:r>
    </w:p>
    <w:p w14:paraId="67FFBADE" w14:textId="033AFCF6" w:rsidR="00CD7792" w:rsidRDefault="00CD7792" w:rsidP="005B0E15">
      <w:pPr>
        <w:jc w:val="both"/>
        <w:rPr>
          <w:lang w:val="hu-HU"/>
        </w:rPr>
      </w:pPr>
      <w:r>
        <w:rPr>
          <w:lang w:val="hu-HU"/>
        </w:rPr>
        <w:t>A duplázások logikai indoklása:</w:t>
      </w:r>
    </w:p>
    <w:p w14:paraId="09071009" w14:textId="056DF8C5" w:rsidR="00CD7792" w:rsidRDefault="00CD7792" w:rsidP="005B0E15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lánc-modellek egymástól független optimalizálások elvileg teljesen szimmetrikus eredményét ígérik és a szimmetria-sérülések lehetnek informatívak. A ceteris paribus alakzat a két rész-modell manuális összevezetésével jön létre. A ceteris paribus alakzat bármilyen lehet.</w:t>
      </w:r>
    </w:p>
    <w:p w14:paraId="4B2FC958" w14:textId="66ED4739" w:rsidR="00CD7792" w:rsidRDefault="00CD7792" w:rsidP="005B0E15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Az objektum-duplázás egy lépcsős függvényt állít elő, mely kényszerűen monoton lesz.</w:t>
      </w:r>
    </w:p>
    <w:p w14:paraId="37D2559C" w14:textId="74B9484A" w:rsidR="00CD7792" w:rsidRDefault="00CD7792" w:rsidP="005B0E15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Az attribútum-duplázás megadja az esélyt az optimalizáló eljárásnak egy direkt és egy inverz lépcsősfüggvény levezetésére, melyek manuális integrálandó és alakjuk bármilyen lehet.</w:t>
      </w:r>
    </w:p>
    <w:p w14:paraId="03172DB5" w14:textId="4FFA90BD" w:rsidR="00CD7792" w:rsidRPr="00CD7792" w:rsidRDefault="00CD7792" w:rsidP="005B0E15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lastRenderedPageBreak/>
        <w:t>A megnégyszerezett OAM esetében az egyetlen egy optimalizálási folyamat két önálló lépcsősfüggvényt hoz létre, melyekben már a direkt és az inverz hatások külön-külön is értelmezésre kerültek, de ezek manuális összevezetendők. Ennek eredménye bármilyen ceteis paribus alakzat lehet.</w:t>
      </w:r>
    </w:p>
    <w:p w14:paraId="161BBE54" w14:textId="2EEC93D3" w:rsidR="00814485" w:rsidRDefault="00814485" w:rsidP="005B0E15">
      <w:pPr>
        <w:pStyle w:val="Cmsor2"/>
        <w:jc w:val="both"/>
        <w:rPr>
          <w:lang w:val="hu-HU"/>
        </w:rPr>
      </w:pPr>
      <w:r>
        <w:rPr>
          <w:lang w:val="hu-HU"/>
        </w:rPr>
        <w:t>Az alapmodell</w:t>
      </w:r>
    </w:p>
    <w:p w14:paraId="46811230" w14:textId="0A80DC26" w:rsidR="00A424DF" w:rsidRDefault="009E0E05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44423748" wp14:editId="114062A8">
            <wp:extent cx="3037115" cy="2170915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9127" cy="217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</w:t>
      </w:r>
      <w:r>
        <w:rPr>
          <w:noProof/>
        </w:rPr>
        <w:drawing>
          <wp:inline distT="0" distB="0" distL="0" distR="0" wp14:anchorId="757E4DA5" wp14:editId="68406C1F">
            <wp:extent cx="2606697" cy="2173151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431" cy="218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4D17" w14:textId="16A0F3A3" w:rsidR="009E0E05" w:rsidRDefault="00095203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37AF7301" wp14:editId="78BF35FE">
            <wp:extent cx="5760720" cy="39630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7CC6A" w14:textId="72D88BC0" w:rsidR="0000169C" w:rsidRDefault="00CD7792" w:rsidP="005B0E1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Ábra: Az alapmodell (forrás: saját ábrázolás)</w:t>
      </w:r>
    </w:p>
    <w:p w14:paraId="7876439A" w14:textId="6DA9EBD7" w:rsidR="00CD7792" w:rsidRDefault="00CD7792" w:rsidP="005B0E15">
      <w:pPr>
        <w:jc w:val="both"/>
        <w:rPr>
          <w:lang w:val="hu-HU"/>
        </w:rPr>
      </w:pPr>
      <w:r>
        <w:rPr>
          <w:lang w:val="hu-HU"/>
        </w:rPr>
        <w:t xml:space="preserve">Az 1. ábra bal felső részlete a kiindulási OAM, a jobb felső a lépcsősfüggvény, </w:t>
      </w:r>
      <w:r w:rsidR="00EE2C02">
        <w:rPr>
          <w:lang w:val="hu-HU"/>
        </w:rPr>
        <w:t>az alsó a becslés objektumonként, melyben a bal felső sorszám kerül a jobb felső helyettesítési réteggel becserélésre és ez demonstrálja a norma becsléseinek mindenkori hibátlanságát – ha lehetséges.</w:t>
      </w:r>
    </w:p>
    <w:p w14:paraId="2AC975F7" w14:textId="6B4A6120" w:rsidR="00EE2C02" w:rsidRDefault="0054252B" w:rsidP="005B0E15">
      <w:pPr>
        <w:jc w:val="both"/>
        <w:rPr>
          <w:lang w:val="hu-HU"/>
        </w:rPr>
      </w:pPr>
      <w:r>
        <w:rPr>
          <w:lang w:val="hu-HU"/>
        </w:rPr>
        <w:t>A jobb felső részlet alapján az is látható, hogy pl. az X(A2) hatása nulla, mert 14 és 0 közötti, azaz a minimálisan kikényszerített értékeket veszi csak fel az attribútum</w:t>
      </w:r>
      <w:r w:rsidR="00542E3E">
        <w:rPr>
          <w:lang w:val="hu-HU"/>
        </w:rPr>
        <w:t xml:space="preserve">. </w:t>
      </w:r>
    </w:p>
    <w:p w14:paraId="56D1DCA5" w14:textId="000A7799" w:rsidR="00EE2C02" w:rsidRDefault="00AC16CF" w:rsidP="005B0E15">
      <w:pPr>
        <w:jc w:val="both"/>
        <w:rPr>
          <w:lang w:val="hu-HU"/>
        </w:rPr>
      </w:pPr>
      <w:r>
        <w:rPr>
          <w:noProof/>
        </w:rPr>
        <w:lastRenderedPageBreak/>
        <w:drawing>
          <wp:inline distT="0" distB="0" distL="0" distR="0" wp14:anchorId="471DB5C2" wp14:editId="43571D43">
            <wp:extent cx="5760720" cy="3063875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ADD68" w14:textId="6536E9D9" w:rsidR="00AC16CF" w:rsidRDefault="00AC16CF" w:rsidP="005B0E1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Ábra: A fel nem használt A2 elhagyásának hatása (forrás: saját ábrázolás)</w:t>
      </w:r>
    </w:p>
    <w:p w14:paraId="06B603E6" w14:textId="46DD2F78" w:rsidR="00AC16CF" w:rsidRDefault="00AC16CF" w:rsidP="005B0E15">
      <w:pPr>
        <w:jc w:val="both"/>
        <w:rPr>
          <w:lang w:val="hu-HU"/>
        </w:rPr>
      </w:pPr>
      <w:r>
        <w:rPr>
          <w:lang w:val="hu-HU"/>
        </w:rPr>
        <w:t>A 2. ábra jelzi, hogy nem minden esetben hatástalan a fel nem használtnak titulált attribútum – de ideális esetben nem illik, hogy érdemi hatás alakuljon ki. Az attribútumok részleges elhagyása és az így kapott elemzési eredmények egymással való összevetésének hermeneutikája is fontos része a konzisztencia-alkotás context free és kontextus-függő matematikájának – különösen azon attribútum(ok) elhagyásakor, melyek lépcsőértékei kényszeresek voltak.</w:t>
      </w:r>
      <w:r w:rsidR="0061011C">
        <w:rPr>
          <w:lang w:val="hu-HU"/>
        </w:rPr>
        <w:t xml:space="preserve"> A szignifikancia fogalma itt is hasznos lehet, amennyiben a becslési értékek egymástól való különbségének relevanciáját képesek kifejezni, mely relevancia visszahat a korreláció és a sorszám-eltérések mértékeire is.</w:t>
      </w:r>
    </w:p>
    <w:p w14:paraId="7644952C" w14:textId="26A55114" w:rsidR="00AC16CF" w:rsidRDefault="00B421B4" w:rsidP="005B0E15">
      <w:pPr>
        <w:pStyle w:val="Cmsor2"/>
        <w:jc w:val="both"/>
        <w:rPr>
          <w:lang w:val="hu-HU"/>
        </w:rPr>
      </w:pPr>
      <w:r>
        <w:rPr>
          <w:lang w:val="hu-HU"/>
        </w:rPr>
        <w:t>Direkt és inverz lánc-modellek (DIL)</w:t>
      </w:r>
    </w:p>
    <w:p w14:paraId="7815DB39" w14:textId="75D143E4" w:rsidR="00962E83" w:rsidRDefault="00962E83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1B538D56" wp14:editId="1522F7EB">
            <wp:extent cx="3467957" cy="173627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4794" cy="174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</w:t>
      </w:r>
      <w:r>
        <w:rPr>
          <w:noProof/>
        </w:rPr>
        <w:drawing>
          <wp:inline distT="0" distB="0" distL="0" distR="0" wp14:anchorId="28C2453B" wp14:editId="1017A2E7">
            <wp:extent cx="2137697" cy="175659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7384" cy="176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68912" w14:textId="691D96C5" w:rsidR="00962E83" w:rsidRDefault="00962E83" w:rsidP="005B0E1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Ábra: </w:t>
      </w:r>
      <w:r w:rsidR="004E6F71">
        <w:rPr>
          <w:lang w:val="hu-HU"/>
        </w:rPr>
        <w:t>A két modell kölcsönhatása a becslésekre és a közös ceteris paribus alakzatra (forrás: saját ábrázolás)</w:t>
      </w:r>
    </w:p>
    <w:p w14:paraId="2F2DEE0A" w14:textId="55648947" w:rsidR="004E6F71" w:rsidRDefault="004E6F71" w:rsidP="005B0E15">
      <w:pPr>
        <w:jc w:val="both"/>
        <w:rPr>
          <w:lang w:val="hu-HU"/>
        </w:rPr>
      </w:pPr>
      <w:r>
        <w:rPr>
          <w:lang w:val="hu-HU"/>
        </w:rPr>
        <w:t>A 3. ábra jelez egy kerekítési hibát (999.5 vs 1000.5), ami +/-1 egységen (vagyis az Y0 modell-gravitáción) belül nem számít a normától való eltérésnek.</w:t>
      </w:r>
    </w:p>
    <w:p w14:paraId="35D9D841" w14:textId="77777777" w:rsidR="004E6F71" w:rsidRDefault="004E6F71" w:rsidP="005B0E15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</w:pPr>
      <w:r>
        <w:rPr>
          <w:lang w:val="hu-HU"/>
        </w:rPr>
        <w:br w:type="page"/>
      </w:r>
    </w:p>
    <w:p w14:paraId="0CF35CDC" w14:textId="01EB2AE9" w:rsidR="004E6F71" w:rsidRPr="004E6F71" w:rsidRDefault="004E6F71" w:rsidP="005B0E15">
      <w:pPr>
        <w:pStyle w:val="Cmsor2"/>
        <w:jc w:val="both"/>
        <w:rPr>
          <w:lang w:val="hu-HU"/>
        </w:rPr>
      </w:pPr>
      <w:r>
        <w:rPr>
          <w:lang w:val="hu-HU"/>
        </w:rPr>
        <w:lastRenderedPageBreak/>
        <w:t>Dupla objektum-modellek (DO)</w:t>
      </w:r>
    </w:p>
    <w:p w14:paraId="2403313D" w14:textId="65AEE386" w:rsidR="00962E83" w:rsidRDefault="00384238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015B83B8" wp14:editId="2718FC51">
            <wp:extent cx="5759912" cy="3608614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4843" cy="361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D2E66" w14:textId="0E8371E9" w:rsidR="004E6F71" w:rsidRDefault="00384238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35F57C45" wp14:editId="3A25F843">
            <wp:extent cx="5760720" cy="381317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AE44" w14:textId="4F71901C" w:rsidR="00384238" w:rsidRDefault="00384238" w:rsidP="005B0E1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Ábra: A DO-modell részletei (forrás: saját ábrázolás)</w:t>
      </w:r>
    </w:p>
    <w:p w14:paraId="5A5CE2F7" w14:textId="79B1270B" w:rsidR="00384238" w:rsidRDefault="00384238" w:rsidP="005B0E15">
      <w:pPr>
        <w:jc w:val="both"/>
        <w:rPr>
          <w:lang w:val="hu-HU"/>
        </w:rPr>
      </w:pPr>
      <w:r>
        <w:rPr>
          <w:lang w:val="hu-HU"/>
        </w:rPr>
        <w:t>A 4. ábra alapján kimondható: hogy a konstans norma-értékek (1000) becslése tökéletes és minden ceteris paribus alakzat (vö. nara</w:t>
      </w:r>
      <w:r w:rsidR="00CF6A89">
        <w:rPr>
          <w:lang w:val="hu-HU"/>
        </w:rPr>
        <w:t>n</w:t>
      </w:r>
      <w:r>
        <w:rPr>
          <w:lang w:val="hu-HU"/>
        </w:rPr>
        <w:t>cssárga vonal) kényszerűen monoton – szemben a következő alfejezetben bemutatásra kerülő DA-modell ceteris-paribus alakzatával…</w:t>
      </w:r>
    </w:p>
    <w:p w14:paraId="08EE252E" w14:textId="11AFE22F" w:rsidR="00384238" w:rsidRDefault="00384238" w:rsidP="005B0E15">
      <w:pPr>
        <w:pStyle w:val="Cmsor2"/>
        <w:jc w:val="both"/>
        <w:rPr>
          <w:lang w:val="hu-HU"/>
        </w:rPr>
      </w:pPr>
      <w:r>
        <w:rPr>
          <w:lang w:val="hu-HU"/>
        </w:rPr>
        <w:lastRenderedPageBreak/>
        <w:t>Dupla attribútum-modellek (DA)</w:t>
      </w:r>
    </w:p>
    <w:p w14:paraId="2384D6D4" w14:textId="121D0683" w:rsidR="00384238" w:rsidRDefault="00594504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4EDA86CC" wp14:editId="7094A8CF">
            <wp:extent cx="5760720" cy="2390775"/>
            <wp:effectExtent l="0" t="0" r="0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860F" w14:textId="52590E0F" w:rsidR="00594504" w:rsidRDefault="00CF6A89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65A40D97" wp14:editId="230A0470">
            <wp:extent cx="5760720" cy="3990975"/>
            <wp:effectExtent l="0" t="0" r="0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3954" w14:textId="293CE54B" w:rsidR="00CF6A89" w:rsidRDefault="00CF6A89" w:rsidP="005B0E1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Ábra: A DA-modell részletei (forrás: saját ábrázolás)</w:t>
      </w:r>
    </w:p>
    <w:p w14:paraId="20353654" w14:textId="0BAB9058" w:rsidR="00CF6A89" w:rsidRDefault="00CF6A89" w:rsidP="005B0E15">
      <w:pPr>
        <w:jc w:val="both"/>
        <w:rPr>
          <w:lang w:val="hu-HU"/>
        </w:rPr>
      </w:pPr>
      <w:r>
        <w:rPr>
          <w:lang w:val="hu-HU"/>
        </w:rPr>
        <w:t xml:space="preserve">A 4. ábrán feldolgozott DA-adatok az 5. ábrán ellenőrizhetők (vö. X(A1) és X(A6)). A ceteris paribus alakzat bármilyen lehet: vö. </w:t>
      </w:r>
      <w:hyperlink r:id="rId19" w:history="1">
        <w:r w:rsidR="005B0E15" w:rsidRPr="00163629">
          <w:rPr>
            <w:rStyle w:val="Hiperhivatkozs"/>
            <w:lang w:val="hu-HU"/>
          </w:rPr>
          <w:t>https://miau.my-x.hu/miau/254/coco_optimum_hatasok_std_modellekkel.xlsx</w:t>
        </w:r>
      </w:hyperlink>
      <w:r w:rsidR="005B0E15">
        <w:rPr>
          <w:lang w:val="hu-HU"/>
        </w:rPr>
        <w:t xml:space="preserve"> F9-variánsok)</w:t>
      </w:r>
    </w:p>
    <w:p w14:paraId="48EAD4F5" w14:textId="77777777" w:rsidR="00B50B49" w:rsidRDefault="00B50B4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</w:pPr>
      <w:r>
        <w:rPr>
          <w:lang w:val="hu-HU"/>
        </w:rPr>
        <w:br w:type="page"/>
      </w:r>
    </w:p>
    <w:p w14:paraId="4FCD3E89" w14:textId="01CDA2CA" w:rsidR="005B0E15" w:rsidRDefault="00B50B49" w:rsidP="00B50B49">
      <w:pPr>
        <w:pStyle w:val="Cmsor2"/>
        <w:rPr>
          <w:lang w:val="hu-HU"/>
        </w:rPr>
      </w:pPr>
      <w:r>
        <w:rPr>
          <w:lang w:val="hu-HU"/>
        </w:rPr>
        <w:lastRenderedPageBreak/>
        <w:t>DOA-modellek</w:t>
      </w:r>
    </w:p>
    <w:p w14:paraId="59B05333" w14:textId="1AC89765" w:rsidR="005B0E15" w:rsidRDefault="00C5143A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7896394C" wp14:editId="4C9F6A94">
            <wp:extent cx="5760720" cy="3401785"/>
            <wp:effectExtent l="0" t="0" r="0" b="825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6534" cy="340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4B930" w14:textId="48207B45" w:rsidR="00C5143A" w:rsidRDefault="005A0D7E" w:rsidP="005B0E15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42FCABCC" wp14:editId="1EEEBEF5">
            <wp:extent cx="5760720" cy="301434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5DDBC" w14:textId="3B8F4D9E" w:rsidR="005A0D7E" w:rsidRDefault="005A0D7E" w:rsidP="005A0D7E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Ábra: A DOA-modell részletei (forrás: saját ábrázolás)</w:t>
      </w:r>
    </w:p>
    <w:p w14:paraId="03A16B43" w14:textId="43AC40A5" w:rsidR="005A0D7E" w:rsidRDefault="005A0D7E" w:rsidP="005A0D7E">
      <w:pPr>
        <w:jc w:val="both"/>
        <w:rPr>
          <w:lang w:val="hu-HU"/>
        </w:rPr>
      </w:pPr>
      <w:r>
        <w:rPr>
          <w:lang w:val="hu-HU"/>
        </w:rPr>
        <w:t>A 6. ábra</w:t>
      </w:r>
      <w:r w:rsidR="00326E86">
        <w:rPr>
          <w:lang w:val="hu-HU"/>
        </w:rPr>
        <w:t xml:space="preserve"> felső citromsárga részlete maga az alapmodell, míg a narancssárga részlete ennek inverze. A DOA kék vonallal jellemzett ceteris parbus alakzata akár monoton is lehet.</w:t>
      </w:r>
    </w:p>
    <w:p w14:paraId="1D4E0A6B" w14:textId="77777777" w:rsidR="00326E86" w:rsidRDefault="00326E8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hu-HU"/>
        </w:rPr>
      </w:pPr>
      <w:r>
        <w:rPr>
          <w:lang w:val="hu-HU"/>
        </w:rPr>
        <w:br w:type="page"/>
      </w:r>
    </w:p>
    <w:p w14:paraId="4238D92D" w14:textId="55B8602A" w:rsidR="00326E86" w:rsidRDefault="00326E86" w:rsidP="00326E86">
      <w:pPr>
        <w:pStyle w:val="Cmsor1"/>
        <w:rPr>
          <w:lang w:val="hu-HU"/>
        </w:rPr>
      </w:pPr>
      <w:r>
        <w:rPr>
          <w:lang w:val="hu-HU"/>
        </w:rPr>
        <w:lastRenderedPageBreak/>
        <w:t>Eredmények</w:t>
      </w:r>
    </w:p>
    <w:p w14:paraId="40DF67EB" w14:textId="24F48FB0" w:rsidR="00326E86" w:rsidRDefault="00326E86" w:rsidP="005A0D7E">
      <w:pPr>
        <w:jc w:val="both"/>
        <w:rPr>
          <w:lang w:val="hu-HU"/>
        </w:rPr>
      </w:pPr>
      <w:r>
        <w:rPr>
          <w:lang w:val="hu-HU"/>
        </w:rPr>
        <w:t>A 6. ábra 4 ceteris paribus alakzatát az X(A1) esetében végig vezető és bemutató ábrasor a lényeg, amiért a teljes számításmenet létrejött. Hasonló levezetések az X(A2-3-4-5) esetében is lehetségesek és a hermeneutikai kihívás minden részlet rendelkezésre állásakor indul.</w:t>
      </w:r>
    </w:p>
    <w:p w14:paraId="5539219C" w14:textId="10C6BF96" w:rsidR="00326E86" w:rsidRDefault="00326E86" w:rsidP="005A0D7E">
      <w:pPr>
        <w:jc w:val="both"/>
        <w:rPr>
          <w:lang w:val="hu-HU"/>
        </w:rPr>
      </w:pPr>
      <w:r>
        <w:rPr>
          <w:lang w:val="hu-HU"/>
        </w:rPr>
        <w:t>Az anti-diszkriminatív modellezés sok-sok alternatív megoldást enged vélelmezni. Ha az alapmodell norma körüli szórását valamely monoton ceteris paribus alakzatokat garantáló eljárással csökkenteni lehet, akkor az a modellezés rugalmasabb, mint a hasonlóságelemzés – ergo jobb.</w:t>
      </w:r>
    </w:p>
    <w:p w14:paraId="33B0A31A" w14:textId="1FE8B921" w:rsidR="00326E86" w:rsidRDefault="00326E86" w:rsidP="005A0D7E">
      <w:pPr>
        <w:jc w:val="both"/>
        <w:rPr>
          <w:lang w:val="hu-HU"/>
        </w:rPr>
      </w:pPr>
      <w:r>
        <w:rPr>
          <w:lang w:val="hu-HU"/>
        </w:rPr>
        <w:t xml:space="preserve">Ha a szóráscsökkentés érdekében a duplázáshoz hasonló effektusok szükségesek, akkor a verseny immár a nulla szórás témakörében nem értelmezhető – ott már csak alternatív megoldásokról lehet beszélni (vö. pl. neuráli hálók). </w:t>
      </w:r>
    </w:p>
    <w:p w14:paraId="3E12E3FB" w14:textId="391C2BA5" w:rsidR="00326E86" w:rsidRDefault="00326E86" w:rsidP="005A0D7E">
      <w:pPr>
        <w:jc w:val="both"/>
        <w:rPr>
          <w:lang w:val="hu-HU"/>
        </w:rPr>
      </w:pPr>
      <w:r>
        <w:rPr>
          <w:lang w:val="hu-HU"/>
        </w:rPr>
        <w:t xml:space="preserve">Az alternatívák számára az Occam-borotvája verseny nyílik meg azonban azonnal: vö. </w:t>
      </w:r>
      <w:hyperlink r:id="rId22" w:history="1">
        <w:r w:rsidRPr="00163629">
          <w:rPr>
            <w:rStyle w:val="Hiperhivatkozs"/>
            <w:lang w:val="hu-HU"/>
          </w:rPr>
          <w:t>https://miau.my-x.hu/miau2009/index.php3?x=e0&amp;string=occam</w:t>
        </w:r>
      </w:hyperlink>
      <w:r>
        <w:rPr>
          <w:lang w:val="hu-HU"/>
        </w:rPr>
        <w:t>, ahol az kerül értelmezésre matematikai/programozási szempontból: melyik alternatíva tekinthető a legegyszerűbbnek?!</w:t>
      </w:r>
    </w:p>
    <w:p w14:paraId="59154BBE" w14:textId="328F13FD" w:rsidR="00326E86" w:rsidRDefault="00326E86" w:rsidP="00326E86">
      <w:pPr>
        <w:pStyle w:val="Cmsor1"/>
        <w:rPr>
          <w:lang w:val="hu-HU"/>
        </w:rPr>
      </w:pPr>
      <w:r>
        <w:rPr>
          <w:lang w:val="hu-HU"/>
        </w:rPr>
        <w:t>Konklúziók</w:t>
      </w:r>
    </w:p>
    <w:p w14:paraId="35FE922C" w14:textId="75151B05" w:rsidR="00326E86" w:rsidRDefault="00326E86" w:rsidP="00326E86">
      <w:pPr>
        <w:rPr>
          <w:lang w:val="hu-HU"/>
        </w:rPr>
      </w:pPr>
      <w:r>
        <w:rPr>
          <w:lang w:val="hu-HU"/>
        </w:rPr>
        <w:t xml:space="preserve">A modellezés robotizálása, vagyis a KNUTH-i elv érvényesítése a modellezés automatizálására elvárja, hogy a legjobb modell kapcsán valamilyen matematikailag/hermeneutikailag értelmezhető ideálból induljunk ki. </w:t>
      </w:r>
    </w:p>
    <w:p w14:paraId="49DB0CE4" w14:textId="77777777" w:rsidR="00326E86" w:rsidRDefault="00326E86" w:rsidP="00326E86">
      <w:pPr>
        <w:rPr>
          <w:lang w:val="hu-HU"/>
        </w:rPr>
      </w:pPr>
      <w:r>
        <w:rPr>
          <w:lang w:val="hu-HU"/>
        </w:rPr>
        <w:t xml:space="preserve">A modellek versenye vezethet: </w:t>
      </w:r>
    </w:p>
    <w:p w14:paraId="45BA85BA" w14:textId="446AFA34" w:rsidR="00326E86" w:rsidRDefault="00326E86" w:rsidP="00326E86">
      <w:pPr>
        <w:pStyle w:val="Listaszerbekezds"/>
        <w:numPr>
          <w:ilvl w:val="0"/>
          <w:numId w:val="5"/>
        </w:numPr>
        <w:rPr>
          <w:lang w:val="hu-HU"/>
        </w:rPr>
      </w:pPr>
      <w:r w:rsidRPr="00326E86">
        <w:rPr>
          <w:lang w:val="hu-HU"/>
        </w:rPr>
        <w:t>egy győztes</w:t>
      </w:r>
      <w:r>
        <w:rPr>
          <w:lang w:val="hu-HU"/>
        </w:rPr>
        <w:t>hez</w:t>
      </w:r>
    </w:p>
    <w:p w14:paraId="570D6FC3" w14:textId="66443F72" w:rsidR="00326E86" w:rsidRDefault="00326E86" w:rsidP="00326E86">
      <w:pPr>
        <w:pStyle w:val="Listaszerbekezds"/>
        <w:numPr>
          <w:ilvl w:val="0"/>
          <w:numId w:val="5"/>
        </w:numPr>
        <w:rPr>
          <w:lang w:val="hu-HU"/>
        </w:rPr>
      </w:pPr>
      <w:r>
        <w:rPr>
          <w:lang w:val="hu-HU"/>
        </w:rPr>
        <w:t>alternatív győztesekhez</w:t>
      </w:r>
    </w:p>
    <w:p w14:paraId="6342DF97" w14:textId="3C5C5FE8" w:rsidR="00326E86" w:rsidRDefault="00326E86" w:rsidP="00326E86">
      <w:pPr>
        <w:pStyle w:val="Listaszerbekezds"/>
        <w:numPr>
          <w:ilvl w:val="0"/>
          <w:numId w:val="5"/>
        </w:numPr>
        <w:rPr>
          <w:lang w:val="hu-HU"/>
        </w:rPr>
      </w:pPr>
      <w:r>
        <w:rPr>
          <w:lang w:val="hu-HU"/>
        </w:rPr>
        <w:t>rendszer-szintű nem-tudom-válaszhoz</w:t>
      </w:r>
    </w:p>
    <w:p w14:paraId="3ED80F96" w14:textId="1EA57B2E" w:rsidR="00326E86" w:rsidRPr="00326E86" w:rsidRDefault="00326E86" w:rsidP="009F3948">
      <w:pPr>
        <w:jc w:val="both"/>
        <w:rPr>
          <w:lang w:val="hu-HU"/>
        </w:rPr>
      </w:pPr>
      <w:r>
        <w:rPr>
          <w:lang w:val="hu-HU"/>
        </w:rPr>
        <w:t>ahol az egyes kimenetek konzisztenciái</w:t>
      </w:r>
      <w:r w:rsidR="009F3948">
        <w:rPr>
          <w:lang w:val="hu-HU"/>
        </w:rPr>
        <w:t xml:space="preserve">nak (a következtetések meggyőző erejének) becslése (esetlegesen </w:t>
      </w:r>
      <w:r w:rsidR="009F3948">
        <w:rPr>
          <w:lang w:val="hu-HU"/>
        </w:rPr>
        <w:t>optimalizálása</w:t>
      </w:r>
      <w:r w:rsidR="009F3948">
        <w:rPr>
          <w:lang w:val="hu-HU"/>
        </w:rPr>
        <w:t>) történik meg – ahol az optimalizálás ismét beletorkollik a melyik-a-legjobb-anti-diszkriminatív-modell kérdésébe, ahogy ugyanide torkollik az occam-borotvája kérdéskör melyik-a-legegyszerűbb-modell kérdése is…</w:t>
      </w:r>
      <w:r w:rsidR="00D50387">
        <w:rPr>
          <w:lang w:val="hu-HU"/>
        </w:rPr>
        <w:t xml:space="preserve"> Vagyis egy soha véget nem érő finomhangolásba (vö. HPC - </w:t>
      </w:r>
      <w:hyperlink r:id="rId23" w:history="1">
        <w:r w:rsidR="00D50387" w:rsidRPr="00163629">
          <w:rPr>
            <w:rStyle w:val="Hiperhivatkozs"/>
            <w:lang w:val="hu-HU"/>
          </w:rPr>
          <w:t>https://miau.my-x.hu/miau2009/index.php3?x=e0&amp;string=hpc</w:t>
        </w:r>
      </w:hyperlink>
      <w:r w:rsidR="00D50387">
        <w:rPr>
          <w:lang w:val="hu-HU"/>
        </w:rPr>
        <w:t>)</w:t>
      </w:r>
      <w:r w:rsidR="003B7F5F">
        <w:rPr>
          <w:lang w:val="hu-HU"/>
        </w:rPr>
        <w:t>, ahol a valós-idejűség-kihívásai szinte mindenkor és kényszerűen szuboptimális, de létező megoldásokat várnak el, ahogy teszik ezt az emberek intuitív módon évezredek óta – csak vélehetően nagyobb hibaaránnyal, nagyobb kilengésekkel a kazohin ideál körül, mint teszik majd ezt a robotok a big-data-erőterek alapján…</w:t>
      </w:r>
    </w:p>
    <w:p w14:paraId="08C3369B" w14:textId="496F9789" w:rsidR="00326E86" w:rsidRDefault="00326E86" w:rsidP="00326E86">
      <w:pPr>
        <w:pStyle w:val="Cmsor1"/>
        <w:rPr>
          <w:lang w:val="hu-HU"/>
        </w:rPr>
      </w:pPr>
      <w:r>
        <w:rPr>
          <w:lang w:val="hu-HU"/>
        </w:rPr>
        <w:t>Referenciák</w:t>
      </w:r>
    </w:p>
    <w:p w14:paraId="4BF81847" w14:textId="2EFBB34B" w:rsidR="00326E86" w:rsidRDefault="00326E86" w:rsidP="005A0D7E">
      <w:pPr>
        <w:jc w:val="both"/>
        <w:rPr>
          <w:lang w:val="hu-HU"/>
        </w:rPr>
      </w:pPr>
      <w:r>
        <w:rPr>
          <w:lang w:val="hu-HU"/>
        </w:rPr>
        <w:t>…szövegközben…</w:t>
      </w:r>
    </w:p>
    <w:p w14:paraId="16D42C55" w14:textId="77777777" w:rsidR="00326E86" w:rsidRPr="005A0D7E" w:rsidRDefault="00326E86" w:rsidP="005A0D7E">
      <w:pPr>
        <w:jc w:val="both"/>
        <w:rPr>
          <w:lang w:val="hu-HU"/>
        </w:rPr>
      </w:pPr>
    </w:p>
    <w:sectPr w:rsidR="00326E86" w:rsidRPr="005A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11EB7"/>
    <w:multiLevelType w:val="hybridMultilevel"/>
    <w:tmpl w:val="1C460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60541"/>
    <w:multiLevelType w:val="hybridMultilevel"/>
    <w:tmpl w:val="7E06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D40D4"/>
    <w:multiLevelType w:val="hybridMultilevel"/>
    <w:tmpl w:val="8EB2C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91E7D"/>
    <w:multiLevelType w:val="hybridMultilevel"/>
    <w:tmpl w:val="920C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A3674"/>
    <w:multiLevelType w:val="hybridMultilevel"/>
    <w:tmpl w:val="9A3A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29"/>
    <w:rsid w:val="0000169C"/>
    <w:rsid w:val="00095203"/>
    <w:rsid w:val="000C070D"/>
    <w:rsid w:val="000F2523"/>
    <w:rsid w:val="00243429"/>
    <w:rsid w:val="002539A4"/>
    <w:rsid w:val="0026054B"/>
    <w:rsid w:val="00302782"/>
    <w:rsid w:val="00326E86"/>
    <w:rsid w:val="00384238"/>
    <w:rsid w:val="003B4E3B"/>
    <w:rsid w:val="003B7F5F"/>
    <w:rsid w:val="0042520E"/>
    <w:rsid w:val="004E6F71"/>
    <w:rsid w:val="0054252B"/>
    <w:rsid w:val="00542E3E"/>
    <w:rsid w:val="00594504"/>
    <w:rsid w:val="005A0D7E"/>
    <w:rsid w:val="005B0E15"/>
    <w:rsid w:val="006066B5"/>
    <w:rsid w:val="0060676A"/>
    <w:rsid w:val="0061011C"/>
    <w:rsid w:val="00644104"/>
    <w:rsid w:val="007A46D6"/>
    <w:rsid w:val="00814485"/>
    <w:rsid w:val="008C3667"/>
    <w:rsid w:val="00962E83"/>
    <w:rsid w:val="00996759"/>
    <w:rsid w:val="009E0E05"/>
    <w:rsid w:val="009F3948"/>
    <w:rsid w:val="00A424DF"/>
    <w:rsid w:val="00AC16CF"/>
    <w:rsid w:val="00B421B4"/>
    <w:rsid w:val="00B50B49"/>
    <w:rsid w:val="00BC3EFC"/>
    <w:rsid w:val="00C5143A"/>
    <w:rsid w:val="00CD7792"/>
    <w:rsid w:val="00CF6A89"/>
    <w:rsid w:val="00D25F68"/>
    <w:rsid w:val="00D50387"/>
    <w:rsid w:val="00EE2C02"/>
    <w:rsid w:val="00F44E5D"/>
    <w:rsid w:val="00F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8818"/>
  <w15:chartTrackingRefBased/>
  <w15:docId w15:val="{E179B6F8-1946-494B-B103-A11E8EAA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3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4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2434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4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F772B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72B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2520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814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bprof/2021/ertekek_matematikaja_mathematics_of_values.doc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s://miau.my-x.hu/miau/268/context_free_hermeneutics.doc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s://miau.my-x.hu/miau/267/regresszios_wam_y0_coco_mcm_double.xlsx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miau.my-x.hu/miau2009/index.php3?x=e0&amp;string=hp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iau.my-x.hu/miau/254/coco_optimum_hatasok_std_modellekkel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miau.my-x.hu/miau2009/index.php3?x=e0&amp;string=occa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0426-CDB2-4125-99E2-4D0FA341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37</cp:revision>
  <dcterms:created xsi:type="dcterms:W3CDTF">2020-12-13T07:30:00Z</dcterms:created>
  <dcterms:modified xsi:type="dcterms:W3CDTF">2020-12-14T09:58:00Z</dcterms:modified>
</cp:coreProperties>
</file>