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42E6" w14:textId="51F8020A" w:rsidR="00927556" w:rsidRDefault="00027601" w:rsidP="00D6203E">
      <w:pPr>
        <w:pStyle w:val="KeinLeerraum"/>
        <w:pBdr>
          <w:top w:val="single" w:sz="4" w:space="1" w:color="auto"/>
          <w:left w:val="single" w:sz="4" w:space="4" w:color="auto"/>
          <w:bottom w:val="single" w:sz="4" w:space="1" w:color="auto"/>
          <w:right w:val="single" w:sz="4" w:space="4" w:color="auto"/>
        </w:pBdr>
        <w:spacing w:line="276" w:lineRule="auto"/>
        <w:jc w:val="center"/>
        <w:rPr>
          <w:rFonts w:ascii="Times New Roman" w:eastAsiaTheme="majorEastAsia" w:hAnsi="Times New Roman" w:cs="Times New Roman"/>
          <w:b/>
          <w:bCs/>
          <w:spacing w:val="-10"/>
          <w:kern w:val="28"/>
          <w:sz w:val="40"/>
          <w:szCs w:val="40"/>
          <w:shd w:val="clear" w:color="auto" w:fill="FFFFFF"/>
        </w:rPr>
      </w:pPr>
      <w:r w:rsidRPr="00EB6BBC">
        <w:rPr>
          <w:rFonts w:ascii="Times New Roman" w:eastAsiaTheme="majorEastAsia" w:hAnsi="Times New Roman" w:cs="Times New Roman"/>
          <w:b/>
          <w:bCs/>
          <w:spacing w:val="-10"/>
          <w:kern w:val="28"/>
          <w:sz w:val="40"/>
          <w:szCs w:val="40"/>
          <w:shd w:val="clear" w:color="auto" w:fill="FFFFFF"/>
        </w:rPr>
        <w:t>EVALUATION AND SIMULATION</w:t>
      </w:r>
    </w:p>
    <w:p w14:paraId="36CC73EC" w14:textId="29CA9A89" w:rsidR="00CA665F" w:rsidRPr="00EB6BBC" w:rsidRDefault="00027601" w:rsidP="00D6203E">
      <w:pPr>
        <w:pStyle w:val="KeinLeerraum"/>
        <w:pBdr>
          <w:top w:val="single" w:sz="4" w:space="1" w:color="auto"/>
          <w:left w:val="single" w:sz="4" w:space="4" w:color="auto"/>
          <w:bottom w:val="single" w:sz="4" w:space="1" w:color="auto"/>
          <w:right w:val="single" w:sz="4" w:space="4" w:color="auto"/>
        </w:pBdr>
        <w:spacing w:line="276" w:lineRule="auto"/>
        <w:jc w:val="center"/>
        <w:rPr>
          <w:rFonts w:ascii="Times New Roman" w:eastAsiaTheme="majorEastAsia" w:hAnsi="Times New Roman" w:cs="Times New Roman"/>
          <w:b/>
          <w:bCs/>
          <w:spacing w:val="-10"/>
          <w:kern w:val="28"/>
          <w:sz w:val="40"/>
          <w:szCs w:val="40"/>
          <w:shd w:val="clear" w:color="auto" w:fill="FFFFFF"/>
        </w:rPr>
      </w:pPr>
      <w:r w:rsidRPr="00EB6BBC">
        <w:rPr>
          <w:rFonts w:ascii="Times New Roman" w:eastAsiaTheme="majorEastAsia" w:hAnsi="Times New Roman" w:cs="Times New Roman"/>
          <w:b/>
          <w:bCs/>
          <w:spacing w:val="-10"/>
          <w:kern w:val="28"/>
          <w:sz w:val="40"/>
          <w:szCs w:val="40"/>
          <w:shd w:val="clear" w:color="auto" w:fill="FFFFFF"/>
        </w:rPr>
        <w:t>OF THE EURO</w:t>
      </w:r>
      <w:r w:rsidR="00CA665F" w:rsidRPr="00EB6BBC">
        <w:rPr>
          <w:rFonts w:ascii="Times New Roman" w:eastAsiaTheme="majorEastAsia" w:hAnsi="Times New Roman" w:cs="Times New Roman"/>
          <w:b/>
          <w:bCs/>
          <w:spacing w:val="-10"/>
          <w:kern w:val="28"/>
          <w:sz w:val="40"/>
          <w:szCs w:val="40"/>
          <w:shd w:val="clear" w:color="auto" w:fill="FFFFFF"/>
        </w:rPr>
        <w:t>PEAN HYDROGEN MARKET BASED ON DIVERSE SIMILARITY ANALYSIS</w:t>
      </w:r>
    </w:p>
    <w:p w14:paraId="19D8C99A" w14:textId="24348734" w:rsidR="00292A5F" w:rsidRPr="00EB6BBC" w:rsidRDefault="005A2B87" w:rsidP="00D6203E">
      <w:pPr>
        <w:spacing w:after="0" w:line="276" w:lineRule="auto"/>
        <w:jc w:val="center"/>
        <w:rPr>
          <w:rFonts w:ascii="Times New Roman" w:hAnsi="Times New Roman" w:cs="Times New Roman"/>
          <w:sz w:val="24"/>
          <w:szCs w:val="24"/>
        </w:rPr>
      </w:pPr>
      <w:r w:rsidRPr="00CC2863">
        <w:rPr>
          <w:rFonts w:ascii="Times New Roman" w:hAnsi="Times New Roman" w:cs="Times New Roman"/>
          <w:sz w:val="18"/>
          <w:szCs w:val="18"/>
        </w:rPr>
        <w:t>László Hammerl (</w:t>
      </w:r>
      <w:hyperlink r:id="rId8" w:history="1">
        <w:r w:rsidR="00306715" w:rsidRPr="00CC2863">
          <w:rPr>
            <w:rStyle w:val="Hyperlink"/>
            <w:rFonts w:ascii="Times New Roman" w:hAnsi="Times New Roman" w:cs="Times New Roman"/>
            <w:sz w:val="18"/>
            <w:szCs w:val="18"/>
          </w:rPr>
          <w:t>https://orcid.org/0000-0003-2600-1872</w:t>
        </w:r>
      </w:hyperlink>
      <w:r w:rsidR="00306715" w:rsidRPr="00CC2863">
        <w:rPr>
          <w:rFonts w:ascii="Times New Roman" w:hAnsi="Times New Roman" w:cs="Times New Roman"/>
          <w:sz w:val="18"/>
          <w:szCs w:val="18"/>
        </w:rPr>
        <w:t>)</w:t>
      </w:r>
      <w:r w:rsidRPr="00CC2863">
        <w:rPr>
          <w:rFonts w:ascii="Times New Roman" w:hAnsi="Times New Roman" w:cs="Times New Roman"/>
          <w:sz w:val="18"/>
          <w:szCs w:val="18"/>
        </w:rPr>
        <w:t xml:space="preserve">, </w:t>
      </w:r>
      <w:r w:rsidR="009A7C39" w:rsidRPr="00CC2863">
        <w:rPr>
          <w:rFonts w:ascii="Times New Roman" w:hAnsi="Times New Roman" w:cs="Times New Roman"/>
          <w:sz w:val="18"/>
          <w:szCs w:val="18"/>
        </w:rPr>
        <w:t>László Pitlik (</w:t>
      </w:r>
      <w:hyperlink r:id="rId9" w:history="1">
        <w:r w:rsidR="009A7C39" w:rsidRPr="00CC2863">
          <w:rPr>
            <w:rStyle w:val="Hyperlink"/>
            <w:rFonts w:ascii="Times New Roman" w:hAnsi="Times New Roman" w:cs="Times New Roman"/>
            <w:sz w:val="18"/>
            <w:szCs w:val="18"/>
          </w:rPr>
          <w:t>https://orcid.org/0000-0001-5819-0319</w:t>
        </w:r>
      </w:hyperlink>
      <w:r w:rsidR="009A7C39" w:rsidRPr="00EB6BBC">
        <w:rPr>
          <w:rFonts w:ascii="Times New Roman" w:hAnsi="Times New Roman" w:cs="Times New Roman"/>
        </w:rPr>
        <w:t>)</w:t>
      </w:r>
      <w:r w:rsidR="009A7C39" w:rsidRPr="00EB6BBC">
        <w:rPr>
          <w:rFonts w:ascii="Times New Roman" w:hAnsi="Times New Roman" w:cs="Times New Roman"/>
        </w:rPr>
        <w:br/>
        <w:t xml:space="preserve">e-Mails: </w:t>
      </w:r>
      <w:hyperlink r:id="rId10" w:history="1">
        <w:r w:rsidR="00D8589E" w:rsidRPr="00EB6BBC">
          <w:rPr>
            <w:rStyle w:val="Hyperlink"/>
            <w:rFonts w:ascii="Times New Roman" w:hAnsi="Times New Roman" w:cs="Times New Roman"/>
          </w:rPr>
          <w:t>hammerll@live.de</w:t>
        </w:r>
      </w:hyperlink>
      <w:r w:rsidR="00D8589E" w:rsidRPr="00EB6BBC">
        <w:rPr>
          <w:rFonts w:ascii="Times New Roman" w:hAnsi="Times New Roman" w:cs="Times New Roman"/>
        </w:rPr>
        <w:t xml:space="preserve">, </w:t>
      </w:r>
      <w:hyperlink r:id="rId11" w:history="1">
        <w:r w:rsidR="009D3FC9" w:rsidRPr="00EB6BBC">
          <w:rPr>
            <w:rStyle w:val="Hyperlink"/>
            <w:rFonts w:ascii="Times New Roman" w:hAnsi="Times New Roman" w:cs="Times New Roman"/>
          </w:rPr>
          <w:t>pitlik@my-x.hu</w:t>
        </w:r>
      </w:hyperlink>
      <w:r w:rsidR="009D3FC9" w:rsidRPr="00EB6BBC">
        <w:rPr>
          <w:rFonts w:ascii="Times New Roman" w:hAnsi="Times New Roman" w:cs="Times New Roman"/>
        </w:rPr>
        <w:br/>
      </w:r>
      <w:r w:rsidRPr="00EB6BBC">
        <w:rPr>
          <w:rFonts w:ascii="Times New Roman" w:hAnsi="Times New Roman" w:cs="Times New Roman"/>
        </w:rPr>
        <w:t>Hungarian University of Agriculture and Life Science (MATE)</w:t>
      </w:r>
      <w:r w:rsidR="009D3FC9" w:rsidRPr="00EB6BBC">
        <w:rPr>
          <w:rFonts w:ascii="Times New Roman" w:hAnsi="Times New Roman" w:cs="Times New Roman"/>
        </w:rPr>
        <w:t xml:space="preserve">, </w:t>
      </w:r>
      <w:proofErr w:type="spellStart"/>
      <w:r w:rsidR="009D3FC9" w:rsidRPr="00EB6BBC">
        <w:rPr>
          <w:rFonts w:ascii="Times New Roman" w:hAnsi="Times New Roman" w:cs="Times New Roman"/>
        </w:rPr>
        <w:t>Kodolányi</w:t>
      </w:r>
      <w:proofErr w:type="spellEnd"/>
      <w:r w:rsidR="009D3FC9" w:rsidRPr="00EB6BBC">
        <w:rPr>
          <w:rFonts w:ascii="Times New Roman" w:hAnsi="Times New Roman" w:cs="Times New Roman"/>
        </w:rPr>
        <w:t xml:space="preserve"> János University</w:t>
      </w:r>
      <w:r w:rsidRPr="00EB6BBC">
        <w:rPr>
          <w:rFonts w:ascii="Times New Roman" w:hAnsi="Times New Roman" w:cs="Times New Roman"/>
        </w:rPr>
        <w:t xml:space="preserve"> (KJU)</w:t>
      </w:r>
    </w:p>
    <w:p w14:paraId="3910A7E5" w14:textId="1532009D" w:rsidR="00665C2E" w:rsidRPr="00EB6BBC" w:rsidRDefault="00292A5F" w:rsidP="00D6203E">
      <w:pPr>
        <w:spacing w:after="0" w:line="276" w:lineRule="auto"/>
        <w:jc w:val="center"/>
        <w:rPr>
          <w:rFonts w:ascii="Times New Roman" w:hAnsi="Times New Roman" w:cs="Times New Roman"/>
          <w:b/>
          <w:sz w:val="28"/>
          <w:szCs w:val="28"/>
        </w:rPr>
      </w:pPr>
      <w:r w:rsidRPr="00EB6BBC">
        <w:rPr>
          <w:rFonts w:ascii="Times New Roman" w:hAnsi="Times New Roman" w:cs="Times New Roman"/>
          <w:i/>
          <w:iCs/>
          <w:sz w:val="24"/>
          <w:szCs w:val="24"/>
        </w:rPr>
        <w:t>Keywords: hydrogen</w:t>
      </w:r>
      <w:r w:rsidR="00890986" w:rsidRPr="00EB6BBC">
        <w:rPr>
          <w:rFonts w:ascii="Times New Roman" w:hAnsi="Times New Roman" w:cs="Times New Roman"/>
          <w:i/>
          <w:iCs/>
          <w:sz w:val="24"/>
          <w:szCs w:val="24"/>
        </w:rPr>
        <w:t xml:space="preserve">, innovation index, </w:t>
      </w:r>
      <w:r w:rsidR="000261D3" w:rsidRPr="00EB6BBC">
        <w:rPr>
          <w:rFonts w:ascii="Times New Roman" w:hAnsi="Times New Roman" w:cs="Times New Roman"/>
          <w:i/>
          <w:iCs/>
          <w:sz w:val="24"/>
          <w:szCs w:val="24"/>
        </w:rPr>
        <w:t>component-based object comparison for objectivity</w:t>
      </w:r>
      <w:r w:rsidR="00665C2E" w:rsidRPr="00EB6BBC">
        <w:rPr>
          <w:rFonts w:ascii="Times New Roman" w:hAnsi="Times New Roman" w:cs="Times New Roman"/>
          <w:sz w:val="24"/>
          <w:szCs w:val="24"/>
        </w:rPr>
        <w:br/>
      </w:r>
      <w:r w:rsidR="00B37896" w:rsidRPr="00EB6BBC">
        <w:rPr>
          <w:rFonts w:ascii="Times New Roman" w:hAnsi="Times New Roman" w:cs="Times New Roman"/>
          <w:b/>
          <w:sz w:val="28"/>
          <w:szCs w:val="28"/>
        </w:rPr>
        <w:t>Abstract</w:t>
      </w:r>
    </w:p>
    <w:p w14:paraId="78133E30" w14:textId="741BA360" w:rsidR="002968A0" w:rsidRPr="004F1732" w:rsidRDefault="00D54EE1" w:rsidP="006C78A4">
      <w:pPr>
        <w:spacing w:line="276" w:lineRule="auto"/>
        <w:jc w:val="both"/>
        <w:rPr>
          <w:rFonts w:ascii="Times New Roman" w:hAnsi="Times New Roman" w:cs="Times New Roman"/>
        </w:rPr>
        <w:sectPr w:rsidR="002968A0" w:rsidRPr="004F1732" w:rsidSect="002968A0">
          <w:pgSz w:w="11906" w:h="16838"/>
          <w:pgMar w:top="1417" w:right="1417" w:bottom="1134" w:left="1417" w:header="709" w:footer="709" w:gutter="0"/>
          <w:cols w:space="708"/>
          <w:docGrid w:linePitch="360"/>
        </w:sectPr>
      </w:pPr>
      <w:r w:rsidRPr="004F1732">
        <w:rPr>
          <w:rFonts w:ascii="Times New Roman" w:hAnsi="Times New Roman" w:cs="Times New Roman"/>
          <w:u w:val="single"/>
        </w:rPr>
        <w:t>Present status</w:t>
      </w:r>
      <w:r w:rsidRPr="004F1732">
        <w:rPr>
          <w:rFonts w:ascii="Times New Roman" w:hAnsi="Times New Roman" w:cs="Times New Roman"/>
        </w:rPr>
        <w:t xml:space="preserve">: Innovative </w:t>
      </w:r>
      <w:r w:rsidR="00C40903" w:rsidRPr="004F1732">
        <w:rPr>
          <w:rFonts w:ascii="Times New Roman" w:hAnsi="Times New Roman" w:cs="Times New Roman"/>
        </w:rPr>
        <w:t xml:space="preserve">technologies in the sector of mobility follow a different pattern of market penetration than traditional </w:t>
      </w:r>
      <w:r w:rsidRPr="004F1732">
        <w:rPr>
          <w:rFonts w:ascii="Times New Roman" w:hAnsi="Times New Roman" w:cs="Times New Roman"/>
        </w:rPr>
        <w:t>markets</w:t>
      </w:r>
      <w:r w:rsidR="00C40903" w:rsidRPr="004F1732">
        <w:rPr>
          <w:rFonts w:ascii="Times New Roman" w:hAnsi="Times New Roman" w:cs="Times New Roman"/>
        </w:rPr>
        <w:t xml:space="preserve">. </w:t>
      </w:r>
      <w:r w:rsidR="00FA4794" w:rsidRPr="004F1732">
        <w:rPr>
          <w:rFonts w:ascii="Times New Roman" w:hAnsi="Times New Roman" w:cs="Times New Roman"/>
        </w:rPr>
        <w:t>Looking</w:t>
      </w:r>
      <w:r w:rsidR="00C40903" w:rsidRPr="004F1732">
        <w:rPr>
          <w:rFonts w:ascii="Times New Roman" w:hAnsi="Times New Roman" w:cs="Times New Roman"/>
        </w:rPr>
        <w:t xml:space="preserve"> at hydrogen technology in Europe, its development</w:t>
      </w:r>
      <w:r w:rsidRPr="004F1732">
        <w:rPr>
          <w:rFonts w:ascii="Times New Roman" w:hAnsi="Times New Roman" w:cs="Times New Roman"/>
        </w:rPr>
        <w:t xml:space="preserve"> can mostly be described through statistical data about the different aspects of the market (</w:t>
      </w:r>
      <w:r w:rsidR="00C40903" w:rsidRPr="004F1732">
        <w:rPr>
          <w:rFonts w:ascii="Times New Roman" w:hAnsi="Times New Roman" w:cs="Times New Roman"/>
        </w:rPr>
        <w:t>namely</w:t>
      </w:r>
      <w:r w:rsidRPr="004F1732">
        <w:rPr>
          <w:rFonts w:ascii="Times New Roman" w:hAnsi="Times New Roman" w:cs="Times New Roman"/>
        </w:rPr>
        <w:t xml:space="preserve"> production volumes, infrastructure</w:t>
      </w:r>
      <w:r w:rsidR="00B9370F" w:rsidRPr="004F1732">
        <w:rPr>
          <w:rFonts w:ascii="Times New Roman" w:hAnsi="Times New Roman" w:cs="Times New Roman"/>
        </w:rPr>
        <w:t>s</w:t>
      </w:r>
      <w:r w:rsidRPr="004F1732">
        <w:rPr>
          <w:rFonts w:ascii="Times New Roman" w:hAnsi="Times New Roman" w:cs="Times New Roman"/>
        </w:rPr>
        <w:t>, prices</w:t>
      </w:r>
      <w:r w:rsidR="00B9370F" w:rsidRPr="004F1732">
        <w:rPr>
          <w:rFonts w:ascii="Times New Roman" w:hAnsi="Times New Roman" w:cs="Times New Roman"/>
        </w:rPr>
        <w:t xml:space="preserve">, etc.) – </w:t>
      </w:r>
      <w:r w:rsidR="00C40903" w:rsidRPr="004F1732">
        <w:rPr>
          <w:rFonts w:ascii="Times New Roman" w:hAnsi="Times New Roman" w:cs="Times New Roman"/>
        </w:rPr>
        <w:t xml:space="preserve">including a wide range of </w:t>
      </w:r>
      <w:r w:rsidR="00B9370F" w:rsidRPr="004F1732">
        <w:rPr>
          <w:rFonts w:ascii="Times New Roman" w:hAnsi="Times New Roman" w:cs="Times New Roman"/>
        </w:rPr>
        <w:t xml:space="preserve">countries. </w:t>
      </w:r>
      <w:r w:rsidR="0022386D" w:rsidRPr="004F1732">
        <w:rPr>
          <w:rFonts w:ascii="Times New Roman" w:hAnsi="Times New Roman" w:cs="Times New Roman"/>
        </w:rPr>
        <w:br/>
      </w:r>
      <w:r w:rsidRPr="004F1732">
        <w:rPr>
          <w:rFonts w:ascii="Times New Roman" w:hAnsi="Times New Roman" w:cs="Times New Roman"/>
          <w:u w:val="single"/>
        </w:rPr>
        <w:t>Goals/Tasks</w:t>
      </w:r>
      <w:r w:rsidRPr="004F1732">
        <w:rPr>
          <w:rFonts w:ascii="Times New Roman" w:hAnsi="Times New Roman" w:cs="Times New Roman"/>
        </w:rPr>
        <w:t xml:space="preserve">: </w:t>
      </w:r>
      <w:r w:rsidR="005512D0" w:rsidRPr="004F1732">
        <w:rPr>
          <w:rFonts w:ascii="Times New Roman" w:hAnsi="Times New Roman" w:cs="Times New Roman"/>
        </w:rPr>
        <w:t>The data-driven, objectivity-focused, analyses consist of three common pillars: simulations (production functions), (anti-discriminatory) assessments, and projections. This paper includes two: a production function about the number of hydrogen-powered automobiles per capita and an anti-discriminatory analysis to generate the phrase "spreading innovation." In a subsequent phase of the study, a forecast will be made.</w:t>
      </w:r>
      <w:r w:rsidR="0022386D" w:rsidRPr="004F1732">
        <w:rPr>
          <w:rFonts w:ascii="Times New Roman" w:hAnsi="Times New Roman" w:cs="Times New Roman"/>
        </w:rPr>
        <w:br/>
      </w:r>
      <w:r w:rsidR="00787D44" w:rsidRPr="004F1732">
        <w:rPr>
          <w:rFonts w:ascii="Times New Roman" w:hAnsi="Times New Roman" w:cs="Times New Roman"/>
          <w:u w:val="single"/>
        </w:rPr>
        <w:t>Method and expectations</w:t>
      </w:r>
      <w:r w:rsidRPr="004F1732">
        <w:rPr>
          <w:rFonts w:ascii="Times New Roman" w:hAnsi="Times New Roman" w:cs="Times New Roman"/>
        </w:rPr>
        <w:t xml:space="preserve">: </w:t>
      </w:r>
      <w:r w:rsidR="005512D0" w:rsidRPr="004F1732">
        <w:rPr>
          <w:rFonts w:ascii="Times New Roman" w:hAnsi="Times New Roman" w:cs="Times New Roman"/>
        </w:rPr>
        <w:t xml:space="preserve">Similarity analysis is a method in which a single source code parameter determines the characteristic of the models: if the stairs in the staircase function may be equivalent, then we can only speak about production functions. If the stairs may not be equal, we </w:t>
      </w:r>
      <w:proofErr w:type="gramStart"/>
      <w:r w:rsidR="005512D0" w:rsidRPr="004F1732">
        <w:rPr>
          <w:rFonts w:ascii="Times New Roman" w:hAnsi="Times New Roman" w:cs="Times New Roman"/>
        </w:rPr>
        <w:t>have the opportunity to</w:t>
      </w:r>
      <w:proofErr w:type="gramEnd"/>
      <w:r w:rsidR="005512D0" w:rsidRPr="004F1732">
        <w:rPr>
          <w:rFonts w:ascii="Times New Roman" w:hAnsi="Times New Roman" w:cs="Times New Roman"/>
        </w:rPr>
        <w:t xml:space="preserve"> establish terms. A production function must always have a genuine dependent variable (number of hydrogen-powered automobiles per population and year for a certain </w:t>
      </w:r>
      <w:r w:rsidR="005D1D25" w:rsidRPr="004F1732">
        <w:rPr>
          <w:rFonts w:ascii="Times New Roman" w:hAnsi="Times New Roman" w:cs="Times New Roman"/>
        </w:rPr>
        <w:t>country</w:t>
      </w:r>
      <w:r w:rsidR="005512D0" w:rsidRPr="004F1732">
        <w:rPr>
          <w:rFonts w:ascii="Times New Roman" w:hAnsi="Times New Roman" w:cs="Times New Roman"/>
        </w:rPr>
        <w:t>). The anti-discriminat</w:t>
      </w:r>
      <w:r w:rsidR="00665C2E" w:rsidRPr="004F1732">
        <w:rPr>
          <w:rFonts w:ascii="Times New Roman" w:hAnsi="Times New Roman" w:cs="Times New Roman"/>
        </w:rPr>
        <w:t>ory</w:t>
      </w:r>
      <w:r w:rsidR="005512D0" w:rsidRPr="004F1732">
        <w:rPr>
          <w:rFonts w:ascii="Times New Roman" w:hAnsi="Times New Roman" w:cs="Times New Roman"/>
        </w:rPr>
        <w:t xml:space="preserve"> models do not need a true dependent variable; instead, they use fabricated Y-values (constants). Production functions may be defined using essentially arbitrary methods (like regressions, neural networks, decision trees, etc.). Only anti-discriminatory similarity studies allow for the formation of terms </w:t>
      </w:r>
      <w:r w:rsidR="00597E81" w:rsidRPr="004F1732">
        <w:rPr>
          <w:rFonts w:ascii="Times New Roman" w:hAnsi="Times New Roman" w:cs="Times New Roman"/>
        </w:rPr>
        <w:t xml:space="preserve">(c.f. </w:t>
      </w:r>
      <w:r w:rsidR="00665C2E" w:rsidRPr="004F1732">
        <w:rPr>
          <w:rFonts w:ascii="Times New Roman" w:hAnsi="Times New Roman" w:cs="Times New Roman"/>
        </w:rPr>
        <w:t xml:space="preserve">Component-based Object Comparison for Objectivity - </w:t>
      </w:r>
      <w:hyperlink r:id="rId12" w:history="1">
        <w:r w:rsidR="00665C2E" w:rsidRPr="004F1732">
          <w:rPr>
            <w:rStyle w:val="Hyperlink"/>
            <w:rFonts w:ascii="Times New Roman" w:hAnsi="Times New Roman" w:cs="Times New Roman"/>
          </w:rPr>
          <w:t>https://miau.my-x.hu/myx-free/index_en.php3</w:t>
        </w:r>
      </w:hyperlink>
      <w:r w:rsidR="00597E81" w:rsidRPr="004F1732">
        <w:rPr>
          <w:rFonts w:ascii="Times New Roman" w:hAnsi="Times New Roman" w:cs="Times New Roman"/>
        </w:rPr>
        <w:t xml:space="preserve">). </w:t>
      </w:r>
      <w:r w:rsidRPr="004F1732">
        <w:rPr>
          <w:rFonts w:ascii="Times New Roman" w:hAnsi="Times New Roman" w:cs="Times New Roman"/>
        </w:rPr>
        <w:t>The</w:t>
      </w:r>
      <w:r w:rsidR="00597E81" w:rsidRPr="004F1732">
        <w:rPr>
          <w:rFonts w:ascii="Times New Roman" w:hAnsi="Times New Roman" w:cs="Times New Roman"/>
        </w:rPr>
        <w:t xml:space="preserve"> production function for the number of hydrogen-driven cars used objects (</w:t>
      </w:r>
      <w:r w:rsidR="003C7FAA" w:rsidRPr="004F1732">
        <w:rPr>
          <w:rFonts w:ascii="Times New Roman" w:hAnsi="Times New Roman" w:cs="Times New Roman"/>
        </w:rPr>
        <w:t>3</w:t>
      </w:r>
      <w:r w:rsidR="00765A38" w:rsidRPr="004F1732">
        <w:rPr>
          <w:rFonts w:ascii="Times New Roman" w:hAnsi="Times New Roman" w:cs="Times New Roman"/>
        </w:rPr>
        <w:t>2</w:t>
      </w:r>
      <w:r w:rsidR="003C7FAA" w:rsidRPr="004F1732">
        <w:rPr>
          <w:rFonts w:ascii="Times New Roman" w:hAnsi="Times New Roman" w:cs="Times New Roman"/>
        </w:rPr>
        <w:t xml:space="preserve"> </w:t>
      </w:r>
      <w:r w:rsidR="00597E81" w:rsidRPr="004F1732">
        <w:rPr>
          <w:rFonts w:ascii="Times New Roman" w:hAnsi="Times New Roman" w:cs="Times New Roman"/>
        </w:rPr>
        <w:t>countries</w:t>
      </w:r>
      <w:r w:rsidR="003C7FAA" w:rsidRPr="004F1732">
        <w:rPr>
          <w:rFonts w:ascii="Times New Roman" w:hAnsi="Times New Roman" w:cs="Times New Roman"/>
        </w:rPr>
        <w:t xml:space="preserve"> of Europe</w:t>
      </w:r>
      <w:r w:rsidR="00787D44" w:rsidRPr="004F1732">
        <w:rPr>
          <w:rFonts w:ascii="Times New Roman" w:hAnsi="Times New Roman" w:cs="Times New Roman"/>
        </w:rPr>
        <w:t>)</w:t>
      </w:r>
      <w:r w:rsidR="003C7FAA" w:rsidRPr="004F1732">
        <w:rPr>
          <w:rFonts w:ascii="Times New Roman" w:hAnsi="Times New Roman" w:cs="Times New Roman"/>
        </w:rPr>
        <w:t xml:space="preserve">. All these countries are either direct manufacturers of motor vehicles or are active in the supplier industry. This is a stark contrast to the American or Asian market, which mostly produce or distribute in homogeneous market situations. The following </w:t>
      </w:r>
      <w:r w:rsidR="00597E81" w:rsidRPr="004F1732">
        <w:rPr>
          <w:rFonts w:ascii="Times New Roman" w:hAnsi="Times New Roman" w:cs="Times New Roman"/>
        </w:rPr>
        <w:t>variables (attributes)</w:t>
      </w:r>
      <w:r w:rsidR="003C7FAA" w:rsidRPr="004F1732">
        <w:rPr>
          <w:rFonts w:ascii="Times New Roman" w:hAnsi="Times New Roman" w:cs="Times New Roman"/>
        </w:rPr>
        <w:t xml:space="preserve"> were selected according to the direction (0 indicating a support, 1 indicating an inhibiting factor), namely the gross public expenditure on R&amp;D, the number of passenger cars produced per capita, the general number of vehicles, the number of hydrogen filling stations, domestic hydrogen production capacities, </w:t>
      </w:r>
      <w:r w:rsidR="008D1F4A" w:rsidRPr="004F1732">
        <w:rPr>
          <w:rFonts w:ascii="Times New Roman" w:hAnsi="Times New Roman" w:cs="Times New Roman"/>
        </w:rPr>
        <w:t>electricity</w:t>
      </w:r>
      <w:r w:rsidR="003C7FAA" w:rsidRPr="004F1732">
        <w:rPr>
          <w:rFonts w:ascii="Times New Roman" w:hAnsi="Times New Roman" w:cs="Times New Roman"/>
        </w:rPr>
        <w:t xml:space="preserve"> prices for household consumers, trucks by alternative engine propulsion (electric, hydrogen, bioethanol, biodiesel), petrol prices and the share of zero-emission vehicles in newly registered passenger cars, representing the x-variables. The y-variable, dedicated as the result variable was defined as the number of hydrogen vehicles. </w:t>
      </w:r>
      <w:r w:rsidR="00597E81" w:rsidRPr="004F1732">
        <w:rPr>
          <w:rFonts w:ascii="Times New Roman" w:hAnsi="Times New Roman" w:cs="Times New Roman"/>
        </w:rPr>
        <w:t>The anti-discriminat</w:t>
      </w:r>
      <w:r w:rsidR="00665C2E" w:rsidRPr="004F1732">
        <w:rPr>
          <w:rFonts w:ascii="Times New Roman" w:hAnsi="Times New Roman" w:cs="Times New Roman"/>
        </w:rPr>
        <w:t>ory</w:t>
      </w:r>
      <w:r w:rsidR="00597E81" w:rsidRPr="004F1732">
        <w:rPr>
          <w:rFonts w:ascii="Times New Roman" w:hAnsi="Times New Roman" w:cs="Times New Roman"/>
        </w:rPr>
        <w:t xml:space="preserve"> model used all the attributes of the above-mentioned production function as independent variables without any subjective weights. </w:t>
      </w:r>
      <w:r w:rsidR="00665C2E" w:rsidRPr="004F1732">
        <w:rPr>
          <w:rFonts w:ascii="Times New Roman" w:hAnsi="Times New Roman" w:cs="Times New Roman"/>
        </w:rPr>
        <w:br/>
      </w:r>
      <w:r w:rsidR="00FF5D41" w:rsidRPr="004F1732">
        <w:rPr>
          <w:rFonts w:ascii="Times New Roman" w:hAnsi="Times New Roman" w:cs="Times New Roman"/>
          <w:u w:val="single"/>
        </w:rPr>
        <w:t>First results:</w:t>
      </w:r>
      <w:r w:rsidR="00FF5D41" w:rsidRPr="004F1732">
        <w:rPr>
          <w:rFonts w:ascii="Times New Roman" w:hAnsi="Times New Roman" w:cs="Times New Roman"/>
        </w:rPr>
        <w:t xml:space="preserve"> </w:t>
      </w:r>
      <w:r w:rsidR="00D27DDF" w:rsidRPr="004F1732">
        <w:rPr>
          <w:rFonts w:ascii="Times New Roman" w:hAnsi="Times New Roman" w:cs="Times New Roman"/>
        </w:rPr>
        <w:t>Our findings</w:t>
      </w:r>
      <w:r w:rsidR="00252B2C" w:rsidRPr="004F1732">
        <w:rPr>
          <w:rFonts w:ascii="Times New Roman" w:hAnsi="Times New Roman" w:cs="Times New Roman"/>
        </w:rPr>
        <w:t xml:space="preserve"> concerning production functions</w:t>
      </w:r>
      <w:r w:rsidR="00D27DDF" w:rsidRPr="004F1732">
        <w:rPr>
          <w:rFonts w:ascii="Times New Roman" w:hAnsi="Times New Roman" w:cs="Times New Roman"/>
        </w:rPr>
        <w:t xml:space="preserve"> show that present statistics cannot evaluate all </w:t>
      </w:r>
      <w:r w:rsidR="00252B2C" w:rsidRPr="004F1732">
        <w:rPr>
          <w:rFonts w:ascii="Times New Roman" w:hAnsi="Times New Roman" w:cs="Times New Roman"/>
        </w:rPr>
        <w:t>countries</w:t>
      </w:r>
      <w:r w:rsidR="00D27DDF" w:rsidRPr="004F1732">
        <w:rPr>
          <w:rFonts w:ascii="Times New Roman" w:hAnsi="Times New Roman" w:cs="Times New Roman"/>
        </w:rPr>
        <w:t xml:space="preserve">. However, most </w:t>
      </w:r>
      <w:r w:rsidR="00252B2C" w:rsidRPr="004F1732">
        <w:rPr>
          <w:rFonts w:ascii="Times New Roman" w:hAnsi="Times New Roman" w:cs="Times New Roman"/>
        </w:rPr>
        <w:t>countries</w:t>
      </w:r>
      <w:r w:rsidR="00D27DDF" w:rsidRPr="004F1732">
        <w:rPr>
          <w:rFonts w:ascii="Times New Roman" w:hAnsi="Times New Roman" w:cs="Times New Roman"/>
        </w:rPr>
        <w:t xml:space="preserve"> are norm-like, meaning they deliberately grow their hydrogen fleet share to meet EU 2030 sustainability targets. It's merely a self-conception to always improve. Some </w:t>
      </w:r>
      <w:r w:rsidR="00252B2C" w:rsidRPr="004F1732">
        <w:rPr>
          <w:rFonts w:ascii="Times New Roman" w:hAnsi="Times New Roman" w:cs="Times New Roman"/>
        </w:rPr>
        <w:t>countries</w:t>
      </w:r>
      <w:r w:rsidR="00D27DDF" w:rsidRPr="004F1732">
        <w:rPr>
          <w:rFonts w:ascii="Times New Roman" w:hAnsi="Times New Roman" w:cs="Times New Roman"/>
        </w:rPr>
        <w:t xml:space="preserve"> demonstrated more over- and underperformance. Before assessing performance, rounding errors were corrected and an inversed test was done to eliminate false positives. Austria, Finland, and notably Germany and Sweden have better framework circumstances (i.e., an R&amp;D-rich policy, a zero-emission demanding market, and fuel infrastructure) than their neighbours yet do not produce enough hydrogen vehicles. While Bulgaria and Poland are still developing, their </w:t>
      </w:r>
      <w:r w:rsidR="00252B2C" w:rsidRPr="004F1732">
        <w:rPr>
          <w:rFonts w:ascii="Times New Roman" w:hAnsi="Times New Roman" w:cs="Times New Roman"/>
        </w:rPr>
        <w:t>estimated Y-</w:t>
      </w:r>
      <w:r w:rsidR="00D27DDF" w:rsidRPr="004F1732">
        <w:rPr>
          <w:rFonts w:ascii="Times New Roman" w:hAnsi="Times New Roman" w:cs="Times New Roman"/>
        </w:rPr>
        <w:t xml:space="preserve">values are greater, </w:t>
      </w:r>
      <w:r w:rsidR="00D27DDF" w:rsidRPr="004F1732">
        <w:rPr>
          <w:rFonts w:ascii="Times New Roman" w:hAnsi="Times New Roman" w:cs="Times New Roman"/>
        </w:rPr>
        <w:lastRenderedPageBreak/>
        <w:t xml:space="preserve">indicating strong consumer interest in hydrogen technology in the transportation industry. The research also suggests that present criteria indicating hydrogen vehicle market preparedness only allow for a limited number of cars and that various socio-economic levers must be pulled to create a sustainable innovation optimum. </w:t>
      </w:r>
      <w:r w:rsidR="00252B2C" w:rsidRPr="004F1732">
        <w:rPr>
          <w:rFonts w:ascii="Times New Roman" w:hAnsi="Times New Roman" w:cs="Times New Roman"/>
        </w:rPr>
        <w:br/>
        <w:t xml:space="preserve">The general validated results in the field of term-creation are reflecting the expert opinions: Some countries like Germany are expected to offer higher potential for the spread of innovative technology than their direct neighbours to the East. The common political and socio-economic anticipation, that highly developed and urbanised countries are doing the best regarding their innovation capabilities is investigated in quantitative dimensions. </w:t>
      </w:r>
      <w:r w:rsidR="00D27DDF" w:rsidRPr="004F1732">
        <w:rPr>
          <w:rFonts w:ascii="Times New Roman" w:hAnsi="Times New Roman" w:cs="Times New Roman"/>
        </w:rPr>
        <w:t xml:space="preserve">In a final stage, an </w:t>
      </w:r>
      <w:r w:rsidR="00252B2C" w:rsidRPr="004F1732">
        <w:rPr>
          <w:rFonts w:ascii="Times New Roman" w:hAnsi="Times New Roman" w:cs="Times New Roman"/>
        </w:rPr>
        <w:t xml:space="preserve">aggregated </w:t>
      </w:r>
      <w:r w:rsidR="00D27DDF" w:rsidRPr="004F1732">
        <w:rPr>
          <w:rFonts w:ascii="Times New Roman" w:hAnsi="Times New Roman" w:cs="Times New Roman"/>
        </w:rPr>
        <w:t xml:space="preserve">index was expected that, as a novum, does not just look at the average of each country's criteria and disregard the dispersion of places, but strongly values each performance and ranks and analyses the </w:t>
      </w:r>
      <w:r w:rsidR="005D1D25" w:rsidRPr="004F1732">
        <w:rPr>
          <w:rFonts w:ascii="Times New Roman" w:hAnsi="Times New Roman" w:cs="Times New Roman"/>
        </w:rPr>
        <w:t>countries</w:t>
      </w:r>
      <w:r w:rsidR="00D27DDF" w:rsidRPr="004F1732">
        <w:rPr>
          <w:rFonts w:ascii="Times New Roman" w:hAnsi="Times New Roman" w:cs="Times New Roman"/>
        </w:rPr>
        <w:t xml:space="preserve">. The "innovation diffusion index 2021" for hydrogen technology might identify Finland, Sweden, and the Netherlands as the top three </w:t>
      </w:r>
      <w:r w:rsidR="00252B2C" w:rsidRPr="004F1732">
        <w:rPr>
          <w:rFonts w:ascii="Times New Roman" w:hAnsi="Times New Roman" w:cs="Times New Roman"/>
        </w:rPr>
        <w:t>countries</w:t>
      </w:r>
      <w:r w:rsidR="00D27DDF" w:rsidRPr="004F1732">
        <w:rPr>
          <w:rFonts w:ascii="Times New Roman" w:hAnsi="Times New Roman" w:cs="Times New Roman"/>
        </w:rPr>
        <w:t xml:space="preserve"> with the greatest potential for mid-term commercial success. Iceland excels in multiple factors, including customer-friendly electricity prices, an inviting R&amp;D market, high numbers of hydrogen cars, and high oil prices to motivate customers to switch, but with a very small car market, no domestic hydrogen production, and many traditional-focused customers, it cannot reach the top. However, the strong transdisciplinary positivity toward innovation is slowing development. These observations help researchers determine where institutions can improve most with the least investment.</w:t>
      </w:r>
      <w:r w:rsidR="00D27DDF" w:rsidRPr="004F1732">
        <w:rPr>
          <w:rFonts w:ascii="Times New Roman" w:hAnsi="Times New Roman" w:cs="Times New Roman"/>
        </w:rPr>
        <w:br/>
      </w:r>
      <w:r w:rsidRPr="004F1732">
        <w:rPr>
          <w:rFonts w:ascii="Times New Roman" w:hAnsi="Times New Roman" w:cs="Times New Roman"/>
          <w:u w:val="single"/>
        </w:rPr>
        <w:t>Argumentations</w:t>
      </w:r>
      <w:r w:rsidRPr="004F1732">
        <w:rPr>
          <w:rFonts w:ascii="Times New Roman" w:hAnsi="Times New Roman" w:cs="Times New Roman"/>
        </w:rPr>
        <w:t xml:space="preserve">: </w:t>
      </w:r>
      <w:r w:rsidR="005512D0" w:rsidRPr="004F1732">
        <w:rPr>
          <w:rFonts w:ascii="Times New Roman" w:hAnsi="Times New Roman" w:cs="Times New Roman"/>
        </w:rPr>
        <w:t xml:space="preserve">Why is an </w:t>
      </w:r>
      <w:r w:rsidR="00791CC4" w:rsidRPr="004F1732">
        <w:rPr>
          <w:rFonts w:ascii="Times New Roman" w:hAnsi="Times New Roman" w:cs="Times New Roman"/>
        </w:rPr>
        <w:t>anti-discriminatory</w:t>
      </w:r>
      <w:r w:rsidR="005512D0" w:rsidRPr="004F1732">
        <w:rPr>
          <w:rFonts w:ascii="Times New Roman" w:hAnsi="Times New Roman" w:cs="Times New Roman"/>
        </w:rPr>
        <w:t xml:space="preserve"> similarity analysis an appropriate method for creating concepts such as innovation diffusion? The creation of a term is legitimate if related items do not provide the same output result. A </w:t>
      </w:r>
      <w:r w:rsidR="006A45DE" w:rsidRPr="004F1732">
        <w:rPr>
          <w:rFonts w:ascii="Times New Roman" w:hAnsi="Times New Roman" w:cs="Times New Roman"/>
        </w:rPr>
        <w:t xml:space="preserve">term </w:t>
      </w:r>
      <w:r w:rsidR="005512D0" w:rsidRPr="004F1732">
        <w:rPr>
          <w:rFonts w:ascii="Times New Roman" w:hAnsi="Times New Roman" w:cs="Times New Roman"/>
        </w:rPr>
        <w:t xml:space="preserve">is a scale on which we discuss better spreading, </w:t>
      </w:r>
      <w:r w:rsidR="006A45DE" w:rsidRPr="004F1732">
        <w:rPr>
          <w:rFonts w:ascii="Times New Roman" w:hAnsi="Times New Roman" w:cs="Times New Roman"/>
        </w:rPr>
        <w:t>norm like (aka to be expected</w:t>
      </w:r>
      <w:r w:rsidR="00FA4794" w:rsidRPr="004F1732">
        <w:rPr>
          <w:rFonts w:ascii="Times New Roman" w:hAnsi="Times New Roman" w:cs="Times New Roman"/>
        </w:rPr>
        <w:t>)</w:t>
      </w:r>
      <w:r w:rsidR="006A45DE" w:rsidRPr="004F1732">
        <w:rPr>
          <w:rFonts w:ascii="Times New Roman" w:hAnsi="Times New Roman" w:cs="Times New Roman"/>
        </w:rPr>
        <w:t xml:space="preserve"> </w:t>
      </w:r>
      <w:r w:rsidR="005512D0" w:rsidRPr="004F1732">
        <w:rPr>
          <w:rFonts w:ascii="Times New Roman" w:hAnsi="Times New Roman" w:cs="Times New Roman"/>
        </w:rPr>
        <w:t xml:space="preserve">spreading, and rather sluggish spreading. Parallel to this, we must be able to derive the system-answer "I-do-not-know," where the direct and inverse models are </w:t>
      </w:r>
      <w:r w:rsidR="00FA4794" w:rsidRPr="004F1732">
        <w:rPr>
          <w:rFonts w:ascii="Times New Roman" w:hAnsi="Times New Roman" w:cs="Times New Roman"/>
        </w:rPr>
        <w:t>reflections of</w:t>
      </w:r>
      <w:r w:rsidR="005512D0" w:rsidRPr="004F1732">
        <w:rPr>
          <w:rFonts w:ascii="Times New Roman" w:hAnsi="Times New Roman" w:cs="Times New Roman"/>
        </w:rPr>
        <w:t xml:space="preserve"> each other for all objects.</w:t>
      </w:r>
      <w:r w:rsidR="00D27DDF" w:rsidRPr="004F1732">
        <w:rPr>
          <w:rFonts w:ascii="Times New Roman" w:hAnsi="Times New Roman" w:cs="Times New Roman"/>
        </w:rPr>
        <w:br/>
      </w:r>
      <w:r w:rsidR="00E1661C" w:rsidRPr="004F1732">
        <w:rPr>
          <w:rFonts w:ascii="Times New Roman" w:hAnsi="Times New Roman" w:cs="Times New Roman"/>
          <w:u w:val="single"/>
        </w:rPr>
        <w:t xml:space="preserve">Limits of the model and </w:t>
      </w:r>
      <w:r w:rsidRPr="004F1732">
        <w:rPr>
          <w:rFonts w:ascii="Times New Roman" w:hAnsi="Times New Roman" w:cs="Times New Roman"/>
          <w:u w:val="single"/>
        </w:rPr>
        <w:t>Future</w:t>
      </w:r>
      <w:r w:rsidRPr="004F1732">
        <w:rPr>
          <w:rFonts w:ascii="Times New Roman" w:hAnsi="Times New Roman" w:cs="Times New Roman"/>
        </w:rPr>
        <w:t>:</w:t>
      </w:r>
      <w:r w:rsidR="00597E81" w:rsidRPr="004F1732">
        <w:rPr>
          <w:rFonts w:ascii="Times New Roman" w:hAnsi="Times New Roman" w:cs="Times New Roman"/>
        </w:rPr>
        <w:t xml:space="preserve"> </w:t>
      </w:r>
      <w:r w:rsidR="00E1661C" w:rsidRPr="004F1732">
        <w:rPr>
          <w:rFonts w:ascii="Times New Roman" w:hAnsi="Times New Roman" w:cs="Times New Roman"/>
        </w:rPr>
        <w:t xml:space="preserve">The general framework of the COCO-Model in its various adaptations is to allow fact-based, automated vulnerability detection and consecutive advice, where policy mechanisms should take place. </w:t>
      </w:r>
      <w:r w:rsidR="00520840" w:rsidRPr="004F1732">
        <w:rPr>
          <w:rFonts w:ascii="Times New Roman" w:hAnsi="Times New Roman" w:cs="Times New Roman"/>
        </w:rPr>
        <w:t xml:space="preserve">However, the model can only decide upon the data it is inserted and thereby can only </w:t>
      </w:r>
      <w:r w:rsidR="00DD5EF9" w:rsidRPr="004F1732">
        <w:rPr>
          <w:rFonts w:ascii="Times New Roman" w:hAnsi="Times New Roman" w:cs="Times New Roman"/>
        </w:rPr>
        <w:t>analyse and reproduce the focus previously applied by the researcher and thereby is subject to an ineliminable bias. To counter this</w:t>
      </w:r>
      <w:r w:rsidR="00485CD8" w:rsidRPr="004F1732">
        <w:rPr>
          <w:rFonts w:ascii="Times New Roman" w:hAnsi="Times New Roman" w:cs="Times New Roman"/>
        </w:rPr>
        <w:t xml:space="preserve"> t</w:t>
      </w:r>
      <w:r w:rsidR="00597E81" w:rsidRPr="004F1732">
        <w:rPr>
          <w:rFonts w:ascii="Times New Roman" w:hAnsi="Times New Roman" w:cs="Times New Roman"/>
        </w:rPr>
        <w:t>he phenomenon “spreading innovation” will be interpreted not only in space but also in time</w:t>
      </w:r>
      <w:r w:rsidR="00252B2C" w:rsidRPr="004F1732">
        <w:rPr>
          <w:rFonts w:ascii="Times New Roman" w:hAnsi="Times New Roman" w:cs="Times New Roman"/>
        </w:rPr>
        <w:t xml:space="preserve"> (see automated SWOT analysis)</w:t>
      </w:r>
      <w:r w:rsidR="00597E81" w:rsidRPr="004F1732">
        <w:rPr>
          <w:rFonts w:ascii="Times New Roman" w:hAnsi="Times New Roman" w:cs="Times New Roman"/>
        </w:rPr>
        <w:t xml:space="preserve">. </w:t>
      </w:r>
      <w:r w:rsidR="00CC7268" w:rsidRPr="004F1732">
        <w:rPr>
          <w:rFonts w:ascii="Times New Roman" w:hAnsi="Times New Roman" w:cs="Times New Roman"/>
        </w:rPr>
        <w:t>How does it develop when looking at the past years? Are significant efforts made by institutions and governments alike to identify</w:t>
      </w:r>
      <w:r w:rsidR="00FA4794" w:rsidRPr="004F1732">
        <w:rPr>
          <w:rFonts w:ascii="Times New Roman" w:hAnsi="Times New Roman" w:cs="Times New Roman"/>
        </w:rPr>
        <w:t xml:space="preserve"> a time-series based development?</w:t>
      </w:r>
      <w:r w:rsidR="00D27DDF" w:rsidRPr="004F1732">
        <w:rPr>
          <w:rFonts w:ascii="Times New Roman" w:hAnsi="Times New Roman" w:cs="Times New Roman"/>
        </w:rPr>
        <w:br/>
      </w:r>
      <w:r w:rsidRPr="004F1732">
        <w:rPr>
          <w:rFonts w:ascii="Times New Roman" w:hAnsi="Times New Roman" w:cs="Times New Roman"/>
          <w:u w:val="single"/>
        </w:rPr>
        <w:t>Demo</w:t>
      </w:r>
      <w:r w:rsidRPr="004F1732">
        <w:rPr>
          <w:rFonts w:ascii="Times New Roman" w:hAnsi="Times New Roman" w:cs="Times New Roman"/>
        </w:rPr>
        <w:t xml:space="preserve">: </w:t>
      </w:r>
      <w:r w:rsidR="00805A20" w:rsidRPr="004F1732">
        <w:rPr>
          <w:rFonts w:ascii="Times New Roman" w:hAnsi="Times New Roman" w:cs="Times New Roman"/>
        </w:rPr>
        <w:t xml:space="preserve">All </w:t>
      </w:r>
      <w:r w:rsidR="00203B3D" w:rsidRPr="004F1732">
        <w:rPr>
          <w:rFonts w:ascii="Times New Roman" w:hAnsi="Times New Roman" w:cs="Times New Roman"/>
        </w:rPr>
        <w:t xml:space="preserve">original data and </w:t>
      </w:r>
      <w:r w:rsidR="00774A69" w:rsidRPr="004F1732">
        <w:rPr>
          <w:rFonts w:ascii="Times New Roman" w:hAnsi="Times New Roman" w:cs="Times New Roman"/>
        </w:rPr>
        <w:t xml:space="preserve">corresponding assumptions were based on the dataset available from </w:t>
      </w:r>
      <w:hyperlink r:id="rId13" w:history="1">
        <w:r w:rsidR="001542D4" w:rsidRPr="004F1732">
          <w:rPr>
            <w:rStyle w:val="Hyperlink"/>
            <w:rFonts w:ascii="Times New Roman" w:hAnsi="Times New Roman" w:cs="Times New Roman"/>
          </w:rPr>
          <w:t>https://miau.my-x.hu/miau/294/hydrogen_market_analyses_2023_abs.xlsx</w:t>
        </w:r>
      </w:hyperlink>
      <w:r w:rsidR="001542D4" w:rsidRPr="004F1732">
        <w:rPr>
          <w:rFonts w:ascii="Times New Roman" w:hAnsi="Times New Roman" w:cs="Times New Roman"/>
        </w:rPr>
        <w:t xml:space="preserve"> </w:t>
      </w:r>
    </w:p>
    <w:p w14:paraId="0F8DC5F2" w14:textId="34A3DB3C" w:rsidR="002968A0" w:rsidRPr="00EB6BBC" w:rsidRDefault="002968A0" w:rsidP="006C78A4">
      <w:pPr>
        <w:pStyle w:val="berschrift1"/>
        <w:jc w:val="both"/>
        <w:rPr>
          <w:rFonts w:ascii="Times New Roman" w:hAnsi="Times New Roman" w:cs="Times New Roman"/>
          <w:b/>
          <w:bCs/>
        </w:rPr>
      </w:pPr>
      <w:r w:rsidRPr="00EB6BBC">
        <w:rPr>
          <w:rFonts w:ascii="Times New Roman" w:hAnsi="Times New Roman" w:cs="Times New Roman"/>
          <w:b/>
          <w:bCs/>
        </w:rPr>
        <w:lastRenderedPageBreak/>
        <w:t>In</w:t>
      </w:r>
      <w:r w:rsidR="002F03B8" w:rsidRPr="00EB6BBC">
        <w:rPr>
          <w:rFonts w:ascii="Times New Roman" w:hAnsi="Times New Roman" w:cs="Times New Roman"/>
          <w:b/>
          <w:bCs/>
        </w:rPr>
        <w:t>troduction</w:t>
      </w:r>
    </w:p>
    <w:p w14:paraId="4CCAC3F6" w14:textId="7BA9A712" w:rsidR="002F03B8" w:rsidRPr="00EB6BBC" w:rsidRDefault="002F03B8" w:rsidP="006C78A4">
      <w:pPr>
        <w:jc w:val="both"/>
        <w:rPr>
          <w:rFonts w:ascii="Times New Roman" w:hAnsi="Times New Roman" w:cs="Times New Roman"/>
        </w:rPr>
      </w:pPr>
    </w:p>
    <w:p w14:paraId="586BC5AF" w14:textId="71893071" w:rsidR="00533990" w:rsidRPr="004F1732" w:rsidRDefault="00C405ED" w:rsidP="006C78A4">
      <w:pPr>
        <w:jc w:val="both"/>
        <w:rPr>
          <w:rFonts w:ascii="Times New Roman" w:hAnsi="Times New Roman" w:cs="Times New Roman"/>
        </w:rPr>
      </w:pPr>
      <w:r w:rsidRPr="004F1732">
        <w:rPr>
          <w:rFonts w:ascii="Times New Roman" w:hAnsi="Times New Roman" w:cs="Times New Roman"/>
        </w:rPr>
        <w:t xml:space="preserve">This article addresses the required policymaking steps for establishing hydrogen-powered individual mobility in Central Europe. By analysing important </w:t>
      </w:r>
      <w:proofErr w:type="gramStart"/>
      <w:r w:rsidRPr="004F1732">
        <w:rPr>
          <w:rFonts w:ascii="Times New Roman" w:hAnsi="Times New Roman" w:cs="Times New Roman"/>
        </w:rPr>
        <w:t>aspects</w:t>
      </w:r>
      <w:proofErr w:type="gramEnd"/>
      <w:r w:rsidR="00CC2863">
        <w:rPr>
          <w:rFonts w:ascii="Times New Roman" w:hAnsi="Times New Roman" w:cs="Times New Roman"/>
        </w:rPr>
        <w:t xml:space="preserve"> the </w:t>
      </w:r>
      <w:r w:rsidR="006A493D">
        <w:rPr>
          <w:rFonts w:ascii="Times New Roman" w:hAnsi="Times New Roman" w:cs="Times New Roman"/>
        </w:rPr>
        <w:t>R&amp;D budget, the dependence on automobile transport or the proposed costs of</w:t>
      </w:r>
      <w:r w:rsidR="0034451B">
        <w:rPr>
          <w:rFonts w:ascii="Times New Roman" w:hAnsi="Times New Roman" w:cs="Times New Roman"/>
        </w:rPr>
        <w:t xml:space="preserve"> a hydrogen infrastructure,</w:t>
      </w:r>
      <w:r w:rsidRPr="004F1732">
        <w:rPr>
          <w:rFonts w:ascii="Times New Roman" w:hAnsi="Times New Roman" w:cs="Times New Roman"/>
        </w:rPr>
        <w:t xml:space="preserve"> influencing this alternative drivetrain's policies, success factors and deficiencies are quantified in order to create the fundamental elements of an integrated policy mix for transcending national borders</w:t>
      </w:r>
      <w:r w:rsidR="00927556">
        <w:rPr>
          <w:rFonts w:ascii="Times New Roman" w:hAnsi="Times New Roman" w:cs="Times New Roman"/>
        </w:rPr>
        <w:t xml:space="preserve"> in an objective way</w:t>
      </w:r>
      <w:r w:rsidRPr="004F1732">
        <w:rPr>
          <w:rFonts w:ascii="Times New Roman" w:hAnsi="Times New Roman" w:cs="Times New Roman"/>
        </w:rPr>
        <w:t xml:space="preserve">. </w:t>
      </w:r>
      <w:proofErr w:type="gramStart"/>
      <w:r w:rsidRPr="004F1732">
        <w:rPr>
          <w:rFonts w:ascii="Times New Roman" w:hAnsi="Times New Roman" w:cs="Times New Roman"/>
        </w:rPr>
        <w:t>On the basis of</w:t>
      </w:r>
      <w:proofErr w:type="gramEnd"/>
      <w:r w:rsidRPr="004F1732">
        <w:rPr>
          <w:rFonts w:ascii="Times New Roman" w:hAnsi="Times New Roman" w:cs="Times New Roman"/>
        </w:rPr>
        <w:t xml:space="preserve"> the findings, </w:t>
      </w:r>
      <w:r w:rsidR="0034451B">
        <w:rPr>
          <w:rFonts w:ascii="Times New Roman" w:hAnsi="Times New Roman" w:cs="Times New Roman"/>
        </w:rPr>
        <w:t xml:space="preserve">at first </w:t>
      </w:r>
      <w:r w:rsidRPr="004F1732">
        <w:rPr>
          <w:rFonts w:ascii="Times New Roman" w:hAnsi="Times New Roman" w:cs="Times New Roman"/>
        </w:rPr>
        <w:t>nine variables that can be documented and evaluated using a component-based object comparison for objectivity model were chosen to rank and evaluate current European countries, focusing on EU countries and those with close market ties, and their potential for establishing larger fleets of emission-low vehicles.</w:t>
      </w:r>
      <w:r w:rsidR="00CF3EDF">
        <w:rPr>
          <w:rFonts w:ascii="Times New Roman" w:hAnsi="Times New Roman" w:cs="Times New Roman"/>
        </w:rPr>
        <w:t xml:space="preserve"> </w:t>
      </w:r>
      <w:proofErr w:type="gramStart"/>
      <w:r w:rsidR="00CF3EDF" w:rsidRPr="00CF3EDF">
        <w:rPr>
          <w:rFonts w:ascii="Times New Roman" w:hAnsi="Times New Roman" w:cs="Times New Roman"/>
        </w:rPr>
        <w:t>In order to</w:t>
      </w:r>
      <w:proofErr w:type="gramEnd"/>
      <w:r w:rsidR="00CF3EDF" w:rsidRPr="00CF3EDF">
        <w:rPr>
          <w:rFonts w:ascii="Times New Roman" w:hAnsi="Times New Roman" w:cs="Times New Roman"/>
        </w:rPr>
        <w:t xml:space="preserve"> achieve a more sustainable reconciliation of different spheres of interest on the basis of common (objective) risk interpretations, it is necessary to increase objectivity within European operational mechanisms that are antagonistic at the level of national interests and systemic interests.</w:t>
      </w:r>
    </w:p>
    <w:p w14:paraId="02F8E496" w14:textId="4016A87E" w:rsidR="007A2B33" w:rsidRPr="004F1732" w:rsidRDefault="00E72ECA" w:rsidP="006C78A4">
      <w:pPr>
        <w:jc w:val="both"/>
        <w:rPr>
          <w:rFonts w:ascii="Times New Roman" w:hAnsi="Times New Roman" w:cs="Times New Roman"/>
        </w:rPr>
      </w:pPr>
      <w:r>
        <w:rPr>
          <w:rFonts w:ascii="Times New Roman" w:hAnsi="Times New Roman" w:cs="Times New Roman"/>
        </w:rPr>
        <w:t>Customers</w:t>
      </w:r>
      <w:r w:rsidR="00604EDB" w:rsidRPr="004F1732">
        <w:rPr>
          <w:rFonts w:ascii="Times New Roman" w:hAnsi="Times New Roman" w:cs="Times New Roman"/>
        </w:rPr>
        <w:t xml:space="preserve"> faces an enormous number of challenges and barriers </w:t>
      </w:r>
      <w:r w:rsidR="009C7A67">
        <w:rPr>
          <w:rFonts w:ascii="Times New Roman" w:hAnsi="Times New Roman" w:cs="Times New Roman"/>
        </w:rPr>
        <w:t xml:space="preserve">like </w:t>
      </w:r>
      <w:r>
        <w:rPr>
          <w:rFonts w:ascii="Times New Roman" w:hAnsi="Times New Roman" w:cs="Times New Roman"/>
        </w:rPr>
        <w:t xml:space="preserve">oil-based </w:t>
      </w:r>
      <w:r w:rsidR="009C7A67">
        <w:rPr>
          <w:rFonts w:ascii="Times New Roman" w:hAnsi="Times New Roman" w:cs="Times New Roman"/>
        </w:rPr>
        <w:t xml:space="preserve">pollution, </w:t>
      </w:r>
      <w:r w:rsidR="004831DC">
        <w:rPr>
          <w:rFonts w:ascii="Times New Roman" w:hAnsi="Times New Roman" w:cs="Times New Roman"/>
        </w:rPr>
        <w:t xml:space="preserve">single-use </w:t>
      </w:r>
      <w:proofErr w:type="gramStart"/>
      <w:r w:rsidR="004831DC">
        <w:rPr>
          <w:rFonts w:ascii="Times New Roman" w:hAnsi="Times New Roman" w:cs="Times New Roman"/>
        </w:rPr>
        <w:t>products</w:t>
      </w:r>
      <w:proofErr w:type="gramEnd"/>
      <w:r w:rsidR="004831DC">
        <w:rPr>
          <w:rFonts w:ascii="Times New Roman" w:hAnsi="Times New Roman" w:cs="Times New Roman"/>
        </w:rPr>
        <w:t xml:space="preserve"> and </w:t>
      </w:r>
      <w:r>
        <w:rPr>
          <w:rFonts w:ascii="Times New Roman" w:hAnsi="Times New Roman" w:cs="Times New Roman"/>
        </w:rPr>
        <w:t>inefficient governmental regulations</w:t>
      </w:r>
      <w:r w:rsidR="004831DC">
        <w:rPr>
          <w:rFonts w:ascii="Times New Roman" w:hAnsi="Times New Roman" w:cs="Times New Roman"/>
        </w:rPr>
        <w:t xml:space="preserve"> </w:t>
      </w:r>
      <w:r w:rsidR="00604EDB" w:rsidRPr="004F1732">
        <w:rPr>
          <w:rFonts w:ascii="Times New Roman" w:hAnsi="Times New Roman" w:cs="Times New Roman"/>
        </w:rPr>
        <w:t>in the modern world, rendering sustainable progress and even sustainable life impossible. Numerous human acts</w:t>
      </w:r>
      <w:r w:rsidR="00125663">
        <w:rPr>
          <w:rFonts w:ascii="Times New Roman" w:hAnsi="Times New Roman" w:cs="Times New Roman"/>
        </w:rPr>
        <w:t xml:space="preserve"> </w:t>
      </w:r>
      <w:r>
        <w:rPr>
          <w:rFonts w:ascii="Times New Roman" w:hAnsi="Times New Roman" w:cs="Times New Roman"/>
        </w:rPr>
        <w:t xml:space="preserve">of construction, </w:t>
      </w:r>
      <w:r w:rsidR="008F7BC2">
        <w:rPr>
          <w:rFonts w:ascii="Times New Roman" w:hAnsi="Times New Roman" w:cs="Times New Roman"/>
        </w:rPr>
        <w:t>energy production and especially automotive transport</w:t>
      </w:r>
      <w:r w:rsidR="00604EDB" w:rsidRPr="004F1732">
        <w:rPr>
          <w:rFonts w:ascii="Times New Roman" w:hAnsi="Times New Roman" w:cs="Times New Roman"/>
        </w:rPr>
        <w:t xml:space="preserve"> </w:t>
      </w:r>
      <w:proofErr w:type="gramStart"/>
      <w:r w:rsidR="00604EDB" w:rsidRPr="004F1732">
        <w:rPr>
          <w:rFonts w:ascii="Times New Roman" w:hAnsi="Times New Roman" w:cs="Times New Roman"/>
        </w:rPr>
        <w:t>lead</w:t>
      </w:r>
      <w:proofErr w:type="gramEnd"/>
      <w:r w:rsidR="00604EDB" w:rsidRPr="004F1732">
        <w:rPr>
          <w:rFonts w:ascii="Times New Roman" w:hAnsi="Times New Roman" w:cs="Times New Roman"/>
        </w:rPr>
        <w:t xml:space="preserve"> to environmental degradation</w:t>
      </w:r>
      <w:r w:rsidR="008F7BC2">
        <w:rPr>
          <w:rFonts w:ascii="Times New Roman" w:hAnsi="Times New Roman" w:cs="Times New Roman"/>
        </w:rPr>
        <w:t xml:space="preserve"> </w:t>
      </w:r>
      <w:r w:rsidR="00854C90">
        <w:rPr>
          <w:rFonts w:ascii="Times New Roman" w:hAnsi="Times New Roman" w:cs="Times New Roman"/>
        </w:rPr>
        <w:t xml:space="preserve">via carbon and other </w:t>
      </w:r>
      <w:r w:rsidR="00417F0D">
        <w:rPr>
          <w:rFonts w:ascii="Times New Roman" w:hAnsi="Times New Roman" w:cs="Times New Roman"/>
        </w:rPr>
        <w:t xml:space="preserve">fine dust </w:t>
      </w:r>
      <w:proofErr w:type="spellStart"/>
      <w:r w:rsidR="00417F0D">
        <w:rPr>
          <w:rFonts w:ascii="Times New Roman" w:hAnsi="Times New Roman" w:cs="Times New Roman"/>
        </w:rPr>
        <w:t>partical</w:t>
      </w:r>
      <w:proofErr w:type="spellEnd"/>
      <w:r w:rsidR="00417F0D">
        <w:rPr>
          <w:rFonts w:ascii="Times New Roman" w:hAnsi="Times New Roman" w:cs="Times New Roman"/>
        </w:rPr>
        <w:t xml:space="preserve"> emissions</w:t>
      </w:r>
      <w:r w:rsidR="00604EDB" w:rsidRPr="004F1732">
        <w:rPr>
          <w:rFonts w:ascii="Times New Roman" w:hAnsi="Times New Roman" w:cs="Times New Roman"/>
        </w:rPr>
        <w:t>. The movement of people and things has a negative impact on both human health and their living surroundings. In times of such significant internal and external change, a well-defined and adaptable strategy is vital. Authorities and consumers seek alternate fuels to expedite the greening of the automobile transportation sector.</w:t>
      </w:r>
    </w:p>
    <w:p w14:paraId="7AA2CF81" w14:textId="77777777" w:rsidR="008C7827" w:rsidRPr="004F1732" w:rsidRDefault="008C7827" w:rsidP="006C78A4">
      <w:pPr>
        <w:jc w:val="both"/>
        <w:rPr>
          <w:rFonts w:ascii="Times New Roman" w:hAnsi="Times New Roman" w:cs="Times New Roman"/>
        </w:rPr>
      </w:pPr>
      <w:r w:rsidRPr="004F1732">
        <w:rPr>
          <w:rFonts w:ascii="Times New Roman" w:hAnsi="Times New Roman" w:cs="Times New Roman"/>
        </w:rPr>
        <w:t>Currently, everyone in the business sector works with a broad range of estimations and forecasts. Examples range from simple regressions and averages to more complex neural networks. The formula Y=</w:t>
      </w:r>
      <w:proofErr w:type="gramStart"/>
      <w:r w:rsidRPr="004F1732">
        <w:rPr>
          <w:rFonts w:ascii="Times New Roman" w:hAnsi="Times New Roman" w:cs="Times New Roman"/>
        </w:rPr>
        <w:t>f(</w:t>
      </w:r>
      <w:proofErr w:type="gramEnd"/>
      <w:r w:rsidRPr="004F1732">
        <w:rPr>
          <w:rFonts w:ascii="Times New Roman" w:hAnsi="Times New Roman" w:cs="Times New Roman"/>
        </w:rPr>
        <w:t xml:space="preserve">X1,..., Xi,..., </w:t>
      </w:r>
      <w:proofErr w:type="spellStart"/>
      <w:r w:rsidRPr="004F1732">
        <w:rPr>
          <w:rFonts w:ascii="Times New Roman" w:hAnsi="Times New Roman" w:cs="Times New Roman"/>
        </w:rPr>
        <w:t>Xn</w:t>
      </w:r>
      <w:proofErr w:type="spellEnd"/>
      <w:r w:rsidRPr="004F1732">
        <w:rPr>
          <w:rFonts w:ascii="Times New Roman" w:hAnsi="Times New Roman" w:cs="Times New Roman"/>
        </w:rPr>
        <w:t>) is used by all of these approaches to predict the future values of our attributes.</w:t>
      </w:r>
    </w:p>
    <w:p w14:paraId="617797FE" w14:textId="4C4F4FB8" w:rsidR="007A2B33" w:rsidRPr="004F1732" w:rsidRDefault="008C7827" w:rsidP="006C78A4">
      <w:pPr>
        <w:jc w:val="both"/>
        <w:rPr>
          <w:rFonts w:ascii="Times New Roman" w:hAnsi="Times New Roman" w:cs="Times New Roman"/>
        </w:rPr>
      </w:pPr>
      <w:r w:rsidRPr="004F1732">
        <w:rPr>
          <w:rFonts w:ascii="Times New Roman" w:hAnsi="Times New Roman" w:cs="Times New Roman"/>
        </w:rPr>
        <w:t xml:space="preserve">This approach is applicable to any dataset and may be used repeatedly to create predictions and forecasts under a broad range of input conditions. This may also lead us to mistakenly perceive the relationships between our data and maybe even conclude that there is a causal link between them. All the </w:t>
      </w:r>
      <w:proofErr w:type="gramStart"/>
      <w:r w:rsidRPr="004F1732">
        <w:rPr>
          <w:rFonts w:ascii="Times New Roman" w:hAnsi="Times New Roman" w:cs="Times New Roman"/>
        </w:rPr>
        <w:t>aforementioned statistical</w:t>
      </w:r>
      <w:proofErr w:type="gramEnd"/>
      <w:r w:rsidRPr="004F1732">
        <w:rPr>
          <w:rFonts w:ascii="Times New Roman" w:hAnsi="Times New Roman" w:cs="Times New Roman"/>
        </w:rPr>
        <w:t xml:space="preserve"> calculations will provide quantitative results as an extra benefit (approximations). It is up to us to determine whether anything is reasonable or realistic</w:t>
      </w:r>
      <w:r w:rsidR="00921665">
        <w:rPr>
          <w:rFonts w:ascii="Times New Roman" w:hAnsi="Times New Roman" w:cs="Times New Roman"/>
        </w:rPr>
        <w:t xml:space="preserve"> (c.f. consistent)</w:t>
      </w:r>
      <w:r w:rsidRPr="004F1732">
        <w:rPr>
          <w:rFonts w:ascii="Times New Roman" w:hAnsi="Times New Roman" w:cs="Times New Roman"/>
        </w:rPr>
        <w:t>. Since these calculations always provide a result (a number), we are prone to being deceived about the future of our date (e.g., sales projections, exchange rate projections, etc.).</w:t>
      </w:r>
    </w:p>
    <w:p w14:paraId="6EDAC840" w14:textId="321CF751" w:rsidR="00C405ED" w:rsidRPr="004F1732" w:rsidRDefault="004E40A4" w:rsidP="006C78A4">
      <w:pPr>
        <w:jc w:val="both"/>
        <w:rPr>
          <w:rFonts w:ascii="Times New Roman" w:hAnsi="Times New Roman" w:cs="Times New Roman"/>
        </w:rPr>
      </w:pPr>
      <w:r w:rsidRPr="004F1732">
        <w:rPr>
          <w:rFonts w:ascii="Times New Roman" w:hAnsi="Times New Roman" w:cs="Times New Roman"/>
        </w:rPr>
        <w:t xml:space="preserve">After </w:t>
      </w:r>
      <w:proofErr w:type="gramStart"/>
      <w:r w:rsidRPr="004F1732">
        <w:rPr>
          <w:rFonts w:ascii="Times New Roman" w:hAnsi="Times New Roman" w:cs="Times New Roman"/>
        </w:rPr>
        <w:t>a number of</w:t>
      </w:r>
      <w:proofErr w:type="gramEnd"/>
      <w:r w:rsidRPr="004F1732">
        <w:rPr>
          <w:rFonts w:ascii="Times New Roman" w:hAnsi="Times New Roman" w:cs="Times New Roman"/>
        </w:rPr>
        <w:t xml:space="preserve"> trials including data quality evaluation or penalties several </w:t>
      </w:r>
      <w:r w:rsidR="003020B9" w:rsidRPr="004F1732">
        <w:rPr>
          <w:rFonts w:ascii="Times New Roman" w:hAnsi="Times New Roman" w:cs="Times New Roman"/>
        </w:rPr>
        <w:t xml:space="preserve">assessments regarding current hydrogen performance of nation states could be evaluated. </w:t>
      </w:r>
    </w:p>
    <w:p w14:paraId="43A52DA7" w14:textId="04B9ED10" w:rsidR="00AA665D" w:rsidRDefault="00AA665D" w:rsidP="006C78A4">
      <w:pPr>
        <w:pStyle w:val="berschrift1"/>
        <w:jc w:val="both"/>
        <w:rPr>
          <w:rFonts w:ascii="Times New Roman" w:hAnsi="Times New Roman" w:cs="Times New Roman"/>
          <w:b/>
          <w:bCs/>
        </w:rPr>
      </w:pPr>
      <w:r w:rsidRPr="00EB6BBC">
        <w:rPr>
          <w:rFonts w:ascii="Times New Roman" w:hAnsi="Times New Roman" w:cs="Times New Roman"/>
          <w:b/>
          <w:bCs/>
        </w:rPr>
        <w:t>Goals</w:t>
      </w:r>
    </w:p>
    <w:p w14:paraId="33FF1DA7" w14:textId="77777777" w:rsidR="004F1732" w:rsidRPr="004F1732" w:rsidRDefault="004F1732" w:rsidP="006C78A4">
      <w:pPr>
        <w:jc w:val="both"/>
      </w:pPr>
    </w:p>
    <w:p w14:paraId="3B0D872A" w14:textId="77777777" w:rsidR="00417F0D" w:rsidRDefault="00AB14EE" w:rsidP="006C78A4">
      <w:pPr>
        <w:jc w:val="both"/>
        <w:rPr>
          <w:rFonts w:ascii="Times New Roman" w:hAnsi="Times New Roman" w:cs="Times New Roman"/>
        </w:rPr>
        <w:sectPr w:rsidR="00417F0D" w:rsidSect="002968A0">
          <w:pgSz w:w="11906" w:h="16838"/>
          <w:pgMar w:top="1417" w:right="1417" w:bottom="1134" w:left="1417" w:header="709" w:footer="709" w:gutter="0"/>
          <w:cols w:space="708"/>
          <w:docGrid w:linePitch="360"/>
        </w:sectPr>
      </w:pPr>
      <w:r w:rsidRPr="004F1732">
        <w:rPr>
          <w:rFonts w:ascii="Times New Roman" w:hAnsi="Times New Roman" w:cs="Times New Roman"/>
        </w:rPr>
        <w:t xml:space="preserve">The research aims to examine a new quantitative performance assessment of previous policies </w:t>
      </w:r>
      <w:proofErr w:type="gramStart"/>
      <w:r w:rsidRPr="004F1732">
        <w:rPr>
          <w:rFonts w:ascii="Times New Roman" w:hAnsi="Times New Roman" w:cs="Times New Roman"/>
        </w:rPr>
        <w:t>in order to</w:t>
      </w:r>
      <w:proofErr w:type="gramEnd"/>
      <w:r w:rsidRPr="004F1732">
        <w:rPr>
          <w:rFonts w:ascii="Times New Roman" w:hAnsi="Times New Roman" w:cs="Times New Roman"/>
        </w:rPr>
        <w:t xml:space="preserve"> expose the inefficiencies of </w:t>
      </w:r>
      <w:r w:rsidR="00921665">
        <w:rPr>
          <w:rFonts w:ascii="Times New Roman" w:hAnsi="Times New Roman" w:cs="Times New Roman"/>
        </w:rPr>
        <w:t>countries</w:t>
      </w:r>
      <w:r w:rsidR="00921665" w:rsidRPr="004F1732">
        <w:rPr>
          <w:rFonts w:ascii="Times New Roman" w:hAnsi="Times New Roman" w:cs="Times New Roman"/>
        </w:rPr>
        <w:t xml:space="preserve"> </w:t>
      </w:r>
      <w:r w:rsidRPr="004F1732">
        <w:rPr>
          <w:rFonts w:ascii="Times New Roman" w:hAnsi="Times New Roman" w:cs="Times New Roman"/>
        </w:rPr>
        <w:t>with a high degree of market penetration in the public eye, but which nonetheless lag behind in relative terms, while revealing the success of hidden champions.</w:t>
      </w:r>
    </w:p>
    <w:p w14:paraId="4E090788" w14:textId="51EF64FC" w:rsidR="00C405ED" w:rsidRDefault="00AB14EE" w:rsidP="006C78A4">
      <w:pPr>
        <w:pStyle w:val="berschrift1"/>
        <w:jc w:val="both"/>
        <w:rPr>
          <w:rFonts w:ascii="Times New Roman" w:hAnsi="Times New Roman" w:cs="Times New Roman"/>
          <w:b/>
          <w:bCs/>
        </w:rPr>
      </w:pPr>
      <w:r w:rsidRPr="00EB6BBC">
        <w:rPr>
          <w:rFonts w:ascii="Times New Roman" w:hAnsi="Times New Roman" w:cs="Times New Roman"/>
          <w:b/>
          <w:bCs/>
        </w:rPr>
        <w:lastRenderedPageBreak/>
        <w:t>Tasks</w:t>
      </w:r>
    </w:p>
    <w:p w14:paraId="66293654" w14:textId="77777777" w:rsidR="004F1732" w:rsidRPr="004F1732" w:rsidRDefault="004F1732" w:rsidP="006C78A4">
      <w:pPr>
        <w:jc w:val="both"/>
      </w:pPr>
    </w:p>
    <w:p w14:paraId="0CD8D450" w14:textId="04E57C7D" w:rsidR="00C405ED" w:rsidRPr="00EB6BBC" w:rsidRDefault="00D96E52" w:rsidP="006C78A4">
      <w:pPr>
        <w:jc w:val="both"/>
        <w:rPr>
          <w:rFonts w:ascii="Times New Roman" w:hAnsi="Times New Roman" w:cs="Times New Roman"/>
        </w:rPr>
      </w:pPr>
      <w:r w:rsidRPr="00EB6BBC">
        <w:rPr>
          <w:rFonts w:ascii="Times New Roman" w:hAnsi="Times New Roman" w:cs="Times New Roman"/>
        </w:rPr>
        <w:t>The study must address the following issues:</w:t>
      </w:r>
    </w:p>
    <w:p w14:paraId="04C05BBE" w14:textId="251726B1" w:rsidR="00A90160" w:rsidRPr="00EB6BBC" w:rsidRDefault="004271FC" w:rsidP="006C78A4">
      <w:pPr>
        <w:pStyle w:val="Listenabsatz"/>
        <w:numPr>
          <w:ilvl w:val="0"/>
          <w:numId w:val="1"/>
        </w:numPr>
        <w:jc w:val="both"/>
        <w:rPr>
          <w:rFonts w:ascii="Times New Roman" w:hAnsi="Times New Roman" w:cs="Times New Roman"/>
        </w:rPr>
      </w:pPr>
      <w:r w:rsidRPr="00EB6BBC">
        <w:rPr>
          <w:rFonts w:ascii="Times New Roman" w:hAnsi="Times New Roman" w:cs="Times New Roman"/>
        </w:rPr>
        <w:t xml:space="preserve">Is it possible to find factors that relevantly </w:t>
      </w:r>
      <w:r w:rsidR="009F7611" w:rsidRPr="00EB6BBC">
        <w:rPr>
          <w:rFonts w:ascii="Times New Roman" w:hAnsi="Times New Roman" w:cs="Times New Roman"/>
        </w:rPr>
        <w:t xml:space="preserve">increase or decrease the potential of hydrogen </w:t>
      </w:r>
      <w:r w:rsidR="0068176E" w:rsidRPr="00EB6BBC">
        <w:rPr>
          <w:rFonts w:ascii="Times New Roman" w:hAnsi="Times New Roman" w:cs="Times New Roman"/>
        </w:rPr>
        <w:t>mobility, without falsifying the outcome and dilute it with irrelevant factors</w:t>
      </w:r>
      <w:r w:rsidR="00921665">
        <w:rPr>
          <w:rFonts w:ascii="Times New Roman" w:hAnsi="Times New Roman" w:cs="Times New Roman"/>
        </w:rPr>
        <w:t xml:space="preserve"> (c.f. deriving </w:t>
      </w:r>
      <w:r w:rsidR="00417F0D">
        <w:rPr>
          <w:rFonts w:ascii="Times New Roman" w:hAnsi="Times New Roman" w:cs="Times New Roman"/>
        </w:rPr>
        <w:t>production</w:t>
      </w:r>
      <w:r w:rsidR="00921665">
        <w:rPr>
          <w:rFonts w:ascii="Times New Roman" w:hAnsi="Times New Roman" w:cs="Times New Roman"/>
        </w:rPr>
        <w:t xml:space="preserve"> functions)</w:t>
      </w:r>
      <w:r w:rsidR="0068176E" w:rsidRPr="00EB6BBC">
        <w:rPr>
          <w:rFonts w:ascii="Times New Roman" w:hAnsi="Times New Roman" w:cs="Times New Roman"/>
        </w:rPr>
        <w:t xml:space="preserve">? </w:t>
      </w:r>
    </w:p>
    <w:p w14:paraId="5E74365A" w14:textId="3AC8BBFB" w:rsidR="00743397" w:rsidRPr="00EB6BBC" w:rsidRDefault="00F963BD" w:rsidP="006C78A4">
      <w:pPr>
        <w:pStyle w:val="Listenabsatz"/>
        <w:numPr>
          <w:ilvl w:val="0"/>
          <w:numId w:val="1"/>
        </w:numPr>
        <w:jc w:val="both"/>
        <w:rPr>
          <w:rFonts w:ascii="Times New Roman" w:hAnsi="Times New Roman" w:cs="Times New Roman"/>
        </w:rPr>
      </w:pPr>
      <w:r w:rsidRPr="00EB6BBC">
        <w:rPr>
          <w:rFonts w:ascii="Times New Roman" w:hAnsi="Times New Roman" w:cs="Times New Roman"/>
        </w:rPr>
        <w:t>Do</w:t>
      </w:r>
      <w:r w:rsidR="00C93545" w:rsidRPr="00EB6BBC">
        <w:rPr>
          <w:rFonts w:ascii="Times New Roman" w:hAnsi="Times New Roman" w:cs="Times New Roman"/>
        </w:rPr>
        <w:t xml:space="preserve"> countries with heavy automotive industry focus react differently to </w:t>
      </w:r>
      <w:r w:rsidRPr="00EB6BBC">
        <w:rPr>
          <w:rFonts w:ascii="Times New Roman" w:hAnsi="Times New Roman" w:cs="Times New Roman"/>
        </w:rPr>
        <w:t>innovative technologies?</w:t>
      </w:r>
      <w:r w:rsidR="00647113">
        <w:rPr>
          <w:rFonts w:ascii="Times New Roman" w:hAnsi="Times New Roman" w:cs="Times New Roman"/>
        </w:rPr>
        <w:t xml:space="preserve"> (c.f. anti-discriminative modelling – each object (</w:t>
      </w:r>
      <w:r w:rsidR="00417F0D">
        <w:rPr>
          <w:rFonts w:ascii="Times New Roman" w:hAnsi="Times New Roman" w:cs="Times New Roman"/>
        </w:rPr>
        <w:t>country and time</w:t>
      </w:r>
      <w:r w:rsidR="00647113">
        <w:rPr>
          <w:rFonts w:ascii="Times New Roman" w:hAnsi="Times New Roman" w:cs="Times New Roman"/>
        </w:rPr>
        <w:t>) can have the same potential in a different way)</w:t>
      </w:r>
      <w:r w:rsidRPr="00EB6BBC">
        <w:rPr>
          <w:rFonts w:ascii="Times New Roman" w:hAnsi="Times New Roman" w:cs="Times New Roman"/>
        </w:rPr>
        <w:t xml:space="preserve"> </w:t>
      </w:r>
    </w:p>
    <w:p w14:paraId="6FA8FCAD" w14:textId="54169DE5" w:rsidR="00D10322" w:rsidRPr="00EB6BBC" w:rsidRDefault="00D10322" w:rsidP="006C78A4">
      <w:pPr>
        <w:pStyle w:val="Listenabsatz"/>
        <w:numPr>
          <w:ilvl w:val="0"/>
          <w:numId w:val="1"/>
        </w:numPr>
        <w:jc w:val="both"/>
        <w:rPr>
          <w:rFonts w:ascii="Times New Roman" w:hAnsi="Times New Roman" w:cs="Times New Roman"/>
        </w:rPr>
      </w:pPr>
      <w:r w:rsidRPr="00EB6BBC">
        <w:rPr>
          <w:rFonts w:ascii="Times New Roman" w:hAnsi="Times New Roman" w:cs="Times New Roman"/>
        </w:rPr>
        <w:t>Eliminate statistically erroneous positives and false negatives</w:t>
      </w:r>
      <w:r w:rsidR="00647113">
        <w:rPr>
          <w:rFonts w:ascii="Times New Roman" w:hAnsi="Times New Roman" w:cs="Times New Roman"/>
        </w:rPr>
        <w:t xml:space="preserve"> (c.f. increasing consistence of partial results)</w:t>
      </w:r>
    </w:p>
    <w:p w14:paraId="40F25CCD" w14:textId="46172DF6" w:rsidR="00D10322" w:rsidRPr="00EB6BBC" w:rsidRDefault="00D10322" w:rsidP="006C78A4">
      <w:pPr>
        <w:pStyle w:val="Listenabsatz"/>
        <w:numPr>
          <w:ilvl w:val="0"/>
          <w:numId w:val="1"/>
        </w:numPr>
        <w:jc w:val="both"/>
        <w:rPr>
          <w:rFonts w:ascii="Times New Roman" w:hAnsi="Times New Roman" w:cs="Times New Roman"/>
        </w:rPr>
      </w:pPr>
      <w:r w:rsidRPr="00EB6BBC">
        <w:rPr>
          <w:rFonts w:ascii="Times New Roman" w:hAnsi="Times New Roman" w:cs="Times New Roman"/>
        </w:rPr>
        <w:t>Determine how much the present system can reasonably support</w:t>
      </w:r>
      <w:r w:rsidR="00647113">
        <w:rPr>
          <w:rFonts w:ascii="Times New Roman" w:hAnsi="Times New Roman" w:cs="Times New Roman"/>
        </w:rPr>
        <w:t xml:space="preserve"> (c.f.</w:t>
      </w:r>
      <w:r w:rsidR="00417F0D">
        <w:rPr>
          <w:rFonts w:ascii="Times New Roman" w:hAnsi="Times New Roman" w:cs="Times New Roman"/>
        </w:rPr>
        <w:t xml:space="preserve"> </w:t>
      </w:r>
      <w:r w:rsidR="00647113">
        <w:rPr>
          <w:rFonts w:ascii="Times New Roman" w:hAnsi="Times New Roman" w:cs="Times New Roman"/>
        </w:rPr>
        <w:t>simulations)</w:t>
      </w:r>
    </w:p>
    <w:p w14:paraId="2CDF0A4D" w14:textId="549125AF" w:rsidR="00D10322" w:rsidRPr="00EB6BBC" w:rsidRDefault="00D10322" w:rsidP="006C78A4">
      <w:pPr>
        <w:pStyle w:val="Listenabsatz"/>
        <w:numPr>
          <w:ilvl w:val="0"/>
          <w:numId w:val="1"/>
        </w:numPr>
        <w:jc w:val="both"/>
        <w:rPr>
          <w:rFonts w:ascii="Times New Roman" w:hAnsi="Times New Roman" w:cs="Times New Roman"/>
        </w:rPr>
      </w:pPr>
      <w:r w:rsidRPr="00EB6BBC">
        <w:rPr>
          <w:rFonts w:ascii="Times New Roman" w:hAnsi="Times New Roman" w:cs="Times New Roman"/>
        </w:rPr>
        <w:t xml:space="preserve">Create an </w:t>
      </w:r>
      <w:r w:rsidR="00417F0D" w:rsidRPr="00EB6BBC">
        <w:rPr>
          <w:rFonts w:ascii="Times New Roman" w:hAnsi="Times New Roman" w:cs="Times New Roman"/>
        </w:rPr>
        <w:t>anti-discriminatory</w:t>
      </w:r>
      <w:r w:rsidRPr="00EB6BBC">
        <w:rPr>
          <w:rFonts w:ascii="Times New Roman" w:hAnsi="Times New Roman" w:cs="Times New Roman"/>
        </w:rPr>
        <w:t xml:space="preserve"> model to prevent data dispersion</w:t>
      </w:r>
      <w:r w:rsidR="00647113">
        <w:rPr>
          <w:rFonts w:ascii="Times New Roman" w:hAnsi="Times New Roman" w:cs="Times New Roman"/>
        </w:rPr>
        <w:t xml:space="preserve"> (c.f. data asset/quality management)</w:t>
      </w:r>
    </w:p>
    <w:p w14:paraId="4954FCE5" w14:textId="06A0CCBF" w:rsidR="00F963BD" w:rsidRPr="00EB6BBC" w:rsidRDefault="00D10322" w:rsidP="006C78A4">
      <w:pPr>
        <w:pStyle w:val="Listenabsatz"/>
        <w:numPr>
          <w:ilvl w:val="0"/>
          <w:numId w:val="1"/>
        </w:numPr>
        <w:jc w:val="both"/>
        <w:rPr>
          <w:rFonts w:ascii="Times New Roman" w:hAnsi="Times New Roman" w:cs="Times New Roman"/>
        </w:rPr>
      </w:pPr>
      <w:r w:rsidRPr="00EB6BBC">
        <w:rPr>
          <w:rFonts w:ascii="Times New Roman" w:hAnsi="Times New Roman" w:cs="Times New Roman"/>
        </w:rPr>
        <w:t>Final: Create a robot-automated decision-making principle</w:t>
      </w:r>
      <w:r w:rsidR="00647113">
        <w:rPr>
          <w:rFonts w:ascii="Times New Roman" w:hAnsi="Times New Roman" w:cs="Times New Roman"/>
        </w:rPr>
        <w:t>/approach</w:t>
      </w:r>
      <w:r w:rsidRPr="00EB6BBC">
        <w:rPr>
          <w:rFonts w:ascii="Times New Roman" w:hAnsi="Times New Roman" w:cs="Times New Roman"/>
        </w:rPr>
        <w:t xml:space="preserve"> for an equitable generalised management concept in order to transform hazardous strategic decision-making into an operational knowledge data base and show a realistic image of a customer-purchasing-based system</w:t>
      </w:r>
      <w:r w:rsidR="00E2329E">
        <w:rPr>
          <w:rFonts w:ascii="Times New Roman" w:hAnsi="Times New Roman" w:cs="Times New Roman"/>
        </w:rPr>
        <w:t xml:space="preserve"> (c.f. all above-mentioned components integrated in</w:t>
      </w:r>
      <w:r w:rsidR="00B06F6E">
        <w:rPr>
          <w:rFonts w:ascii="Times New Roman" w:hAnsi="Times New Roman" w:cs="Times New Roman"/>
        </w:rPr>
        <w:t>to</w:t>
      </w:r>
      <w:r w:rsidR="00E2329E">
        <w:rPr>
          <w:rFonts w:ascii="Times New Roman" w:hAnsi="Times New Roman" w:cs="Times New Roman"/>
        </w:rPr>
        <w:t xml:space="preserve"> a </w:t>
      </w:r>
      <w:r w:rsidR="00521C7B">
        <w:rPr>
          <w:rFonts w:ascii="Times New Roman" w:hAnsi="Times New Roman" w:cs="Times New Roman"/>
        </w:rPr>
        <w:t>holistic system</w:t>
      </w:r>
      <w:proofErr w:type="gramStart"/>
      <w:r w:rsidR="00521C7B">
        <w:rPr>
          <w:rFonts w:ascii="Times New Roman" w:hAnsi="Times New Roman" w:cs="Times New Roman"/>
        </w:rPr>
        <w:t>)</w:t>
      </w:r>
      <w:r w:rsidR="00E2329E">
        <w:rPr>
          <w:rFonts w:ascii="Times New Roman" w:hAnsi="Times New Roman" w:cs="Times New Roman"/>
        </w:rPr>
        <w:t xml:space="preserve"> </w:t>
      </w:r>
      <w:r w:rsidRPr="00EB6BBC">
        <w:rPr>
          <w:rFonts w:ascii="Times New Roman" w:hAnsi="Times New Roman" w:cs="Times New Roman"/>
        </w:rPr>
        <w:t>.</w:t>
      </w:r>
      <w:proofErr w:type="gramEnd"/>
    </w:p>
    <w:p w14:paraId="367D8A13" w14:textId="467F8534" w:rsidR="00A90160" w:rsidRPr="00EB6BBC" w:rsidRDefault="00A90160" w:rsidP="00D6203E">
      <w:pPr>
        <w:pStyle w:val="berschrift1"/>
        <w:jc w:val="both"/>
        <w:rPr>
          <w:rFonts w:ascii="Times New Roman" w:hAnsi="Times New Roman" w:cs="Times New Roman"/>
          <w:b/>
          <w:bCs/>
        </w:rPr>
      </w:pPr>
      <w:r w:rsidRPr="00EB6BBC">
        <w:rPr>
          <w:rFonts w:ascii="Times New Roman" w:hAnsi="Times New Roman" w:cs="Times New Roman"/>
          <w:b/>
          <w:bCs/>
        </w:rPr>
        <w:t>Variables and their socio-economic relevance</w:t>
      </w:r>
    </w:p>
    <w:p w14:paraId="7B2791CA" w14:textId="77777777" w:rsidR="002E434A" w:rsidRPr="00EB6BBC" w:rsidRDefault="002E434A" w:rsidP="006C78A4">
      <w:pPr>
        <w:jc w:val="both"/>
        <w:rPr>
          <w:rFonts w:ascii="Times New Roman" w:hAnsi="Times New Roman" w:cs="Times New Roman"/>
        </w:rPr>
      </w:pPr>
    </w:p>
    <w:p w14:paraId="3A4D23D3" w14:textId="465FBB53" w:rsidR="00677715" w:rsidRPr="00EB6BBC" w:rsidRDefault="00677715" w:rsidP="006C78A4">
      <w:pPr>
        <w:jc w:val="both"/>
        <w:rPr>
          <w:rFonts w:ascii="Times New Roman" w:hAnsi="Times New Roman" w:cs="Times New Roman"/>
        </w:rPr>
      </w:pPr>
      <w:r w:rsidRPr="00EB6BBC">
        <w:rPr>
          <w:rFonts w:ascii="Times New Roman" w:hAnsi="Times New Roman" w:cs="Times New Roman"/>
        </w:rPr>
        <w:t xml:space="preserve">The number of hydrogen-powered cars was chosen as the unit of measurement and, hence, the </w:t>
      </w:r>
      <w:r w:rsidR="00B06F6E">
        <w:rPr>
          <w:rFonts w:ascii="Times New Roman" w:hAnsi="Times New Roman" w:cs="Times New Roman"/>
        </w:rPr>
        <w:t xml:space="preserve">first </w:t>
      </w:r>
      <w:r w:rsidRPr="00EB6BBC">
        <w:rPr>
          <w:rFonts w:ascii="Times New Roman" w:hAnsi="Times New Roman" w:cs="Times New Roman"/>
        </w:rPr>
        <w:t>dependent variable</w:t>
      </w:r>
      <w:r w:rsidR="00F47435">
        <w:rPr>
          <w:rFonts w:ascii="Times New Roman" w:hAnsi="Times New Roman" w:cs="Times New Roman"/>
        </w:rPr>
        <w:t xml:space="preserve"> (Y)</w:t>
      </w:r>
      <w:r w:rsidR="00B06F6E">
        <w:rPr>
          <w:rFonts w:ascii="Times New Roman" w:hAnsi="Times New Roman" w:cs="Times New Roman"/>
        </w:rPr>
        <w:t xml:space="preserve"> needing a production function for further simulations and evaluations/interpret</w:t>
      </w:r>
      <w:r w:rsidR="00F47435">
        <w:rPr>
          <w:rFonts w:ascii="Times New Roman" w:hAnsi="Times New Roman" w:cs="Times New Roman"/>
        </w:rPr>
        <w:t>at</w:t>
      </w:r>
      <w:r w:rsidR="00B06F6E">
        <w:rPr>
          <w:rFonts w:ascii="Times New Roman" w:hAnsi="Times New Roman" w:cs="Times New Roman"/>
        </w:rPr>
        <w:t>ions</w:t>
      </w:r>
      <w:r w:rsidRPr="00EB6BBC">
        <w:rPr>
          <w:rFonts w:ascii="Times New Roman" w:hAnsi="Times New Roman" w:cs="Times New Roman"/>
        </w:rPr>
        <w:t>. This number was calculated as a relative value on purpose, since only five types of hydrogen-powered cars are now available for commercial and private use in Europe, and absolute numbers would misrepresent the total sales and country of origin of the vehicles</w:t>
      </w:r>
      <w:r w:rsidR="00F47435">
        <w:rPr>
          <w:rFonts w:ascii="Times New Roman" w:hAnsi="Times New Roman" w:cs="Times New Roman"/>
        </w:rPr>
        <w:t xml:space="preserve"> (from point of view of similarities)</w:t>
      </w:r>
      <w:r w:rsidRPr="00EB6BBC">
        <w:rPr>
          <w:rFonts w:ascii="Times New Roman" w:hAnsi="Times New Roman" w:cs="Times New Roman"/>
        </w:rPr>
        <w:t xml:space="preserve">. Due to the present limited number of sales, it is anticipated that these vehicles will only be purchased by so-called early adopters. This refers to buyers who purchase autos based on their belief in the technology, despite the market's immature state (refuelling infrastructure, purchase price, tax incentives, etc.). Due to the minuscule proportion, the present distribution of the elements provides insight into the average customer, since he or she views the </w:t>
      </w:r>
      <w:proofErr w:type="gramStart"/>
      <w:r w:rsidRPr="00EB6BBC">
        <w:rPr>
          <w:rFonts w:ascii="Times New Roman" w:hAnsi="Times New Roman" w:cs="Times New Roman"/>
        </w:rPr>
        <w:t>aforementioned minimal</w:t>
      </w:r>
      <w:proofErr w:type="gramEnd"/>
      <w:r w:rsidRPr="00EB6BBC">
        <w:rPr>
          <w:rFonts w:ascii="Times New Roman" w:hAnsi="Times New Roman" w:cs="Times New Roman"/>
        </w:rPr>
        <w:t xml:space="preserve"> market advances as necessary and does not otherwise consider them when making a choice.</w:t>
      </w:r>
    </w:p>
    <w:p w14:paraId="09B42079" w14:textId="6E04A436" w:rsidR="00526A3F" w:rsidRPr="00EB6BBC" w:rsidRDefault="00677715" w:rsidP="006C78A4">
      <w:pPr>
        <w:jc w:val="both"/>
        <w:rPr>
          <w:rFonts w:ascii="Times New Roman" w:hAnsi="Times New Roman" w:cs="Times New Roman"/>
        </w:rPr>
      </w:pPr>
      <w:r w:rsidRPr="00EB6BBC">
        <w:rPr>
          <w:rFonts w:ascii="Times New Roman" w:hAnsi="Times New Roman" w:cs="Times New Roman"/>
        </w:rPr>
        <w:t>The following variables were chosen as independent variables</w:t>
      </w:r>
      <w:r w:rsidR="00F47435">
        <w:rPr>
          <w:rFonts w:ascii="Times New Roman" w:hAnsi="Times New Roman" w:cs="Times New Roman"/>
        </w:rPr>
        <w:t xml:space="preserve"> (Xi)</w:t>
      </w:r>
      <w:r w:rsidRPr="00EB6BBC">
        <w:rPr>
          <w:rFonts w:ascii="Times New Roman" w:hAnsi="Times New Roman" w:cs="Times New Roman"/>
        </w:rPr>
        <w:t>, with a plus sign indicating a positive impact and a minus sign indicating a limiting influence on the number of hydrogen cars:</w:t>
      </w:r>
    </w:p>
    <w:tbl>
      <w:tblPr>
        <w:tblStyle w:val="Listentabelle3"/>
        <w:tblW w:w="0" w:type="auto"/>
        <w:tblLook w:val="04A0" w:firstRow="1" w:lastRow="0" w:firstColumn="1" w:lastColumn="0" w:noHBand="0" w:noVBand="1"/>
      </w:tblPr>
      <w:tblGrid>
        <w:gridCol w:w="1536"/>
        <w:gridCol w:w="2152"/>
        <w:gridCol w:w="2627"/>
        <w:gridCol w:w="2747"/>
      </w:tblGrid>
      <w:tr w:rsidR="00A86F9C" w:rsidRPr="00EB6BBC" w14:paraId="2C09BD42" w14:textId="77777777" w:rsidTr="00B92A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6" w:type="dxa"/>
            <w:vAlign w:val="center"/>
          </w:tcPr>
          <w:p w14:paraId="086BD42B" w14:textId="4C8BBB6F" w:rsidR="00A86F9C" w:rsidRPr="00EB6BBC" w:rsidRDefault="00A86F9C" w:rsidP="00D6203E">
            <w:pPr>
              <w:jc w:val="both"/>
              <w:rPr>
                <w:rFonts w:ascii="Times New Roman" w:hAnsi="Times New Roman" w:cs="Times New Roman"/>
              </w:rPr>
            </w:pPr>
            <w:r w:rsidRPr="00EB6BBC">
              <w:rPr>
                <w:rFonts w:ascii="Times New Roman" w:hAnsi="Times New Roman" w:cs="Times New Roman"/>
              </w:rPr>
              <w:t>Variable</w:t>
            </w:r>
          </w:p>
        </w:tc>
        <w:tc>
          <w:tcPr>
            <w:tcW w:w="2152" w:type="dxa"/>
            <w:vAlign w:val="center"/>
          </w:tcPr>
          <w:p w14:paraId="333E9025" w14:textId="0121B506" w:rsidR="00A86F9C" w:rsidRPr="00EB6BBC" w:rsidRDefault="00A86F9C" w:rsidP="00D6203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Measuring unit</w:t>
            </w:r>
          </w:p>
        </w:tc>
        <w:tc>
          <w:tcPr>
            <w:tcW w:w="2627" w:type="dxa"/>
            <w:vAlign w:val="center"/>
          </w:tcPr>
          <w:p w14:paraId="2492770B" w14:textId="625A0A00" w:rsidR="00A86F9C" w:rsidRPr="00EB6BBC" w:rsidRDefault="00A86F9C" w:rsidP="00D6203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Expectation regarding effect</w:t>
            </w:r>
          </w:p>
        </w:tc>
        <w:tc>
          <w:tcPr>
            <w:tcW w:w="2747" w:type="dxa"/>
            <w:vAlign w:val="center"/>
          </w:tcPr>
          <w:p w14:paraId="2BB724C1" w14:textId="73DE1950" w:rsidR="00A86F9C" w:rsidRPr="00EB6BBC" w:rsidRDefault="00A86F9C" w:rsidP="00D6203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Explanation</w:t>
            </w:r>
          </w:p>
        </w:tc>
      </w:tr>
      <w:tr w:rsidR="00A86F9C" w:rsidRPr="00ED4762" w14:paraId="09951FB6" w14:textId="77777777" w:rsidTr="00B9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vAlign w:val="center"/>
          </w:tcPr>
          <w:p w14:paraId="0CAE48D9" w14:textId="3AF83C7A" w:rsidR="00A86F9C" w:rsidRPr="00EB6BBC" w:rsidRDefault="00A86F9C" w:rsidP="00D6203E">
            <w:pPr>
              <w:jc w:val="center"/>
              <w:rPr>
                <w:rFonts w:ascii="Times New Roman" w:hAnsi="Times New Roman" w:cs="Times New Roman"/>
              </w:rPr>
            </w:pPr>
            <w:r w:rsidRPr="00EB6BBC">
              <w:rPr>
                <w:rFonts w:ascii="Times New Roman" w:hAnsi="Times New Roman" w:cs="Times New Roman"/>
              </w:rPr>
              <w:t>Gross public expenditure on R&amp;D</w:t>
            </w:r>
          </w:p>
        </w:tc>
        <w:tc>
          <w:tcPr>
            <w:tcW w:w="2152" w:type="dxa"/>
            <w:vAlign w:val="center"/>
          </w:tcPr>
          <w:p w14:paraId="2CCEFE38" w14:textId="5B6143D2" w:rsidR="00A86F9C" w:rsidRPr="00EB6BBC" w:rsidRDefault="00A86F9C" w:rsidP="00D620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per capita</w:t>
            </w:r>
          </w:p>
        </w:tc>
        <w:tc>
          <w:tcPr>
            <w:tcW w:w="2627" w:type="dxa"/>
            <w:vAlign w:val="center"/>
          </w:tcPr>
          <w:p w14:paraId="56A10B4A" w14:textId="4B2385C0" w:rsidR="00A86F9C" w:rsidRPr="00EB6BBC" w:rsidRDefault="00A86F9C" w:rsidP="00D620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6BBC">
              <w:rPr>
                <w:rFonts w:ascii="Times New Roman" w:hAnsi="Times New Roman" w:cs="Times New Roman"/>
                <w:b/>
                <w:bCs/>
                <w:sz w:val="28"/>
                <w:szCs w:val="28"/>
              </w:rPr>
              <w:t>+</w:t>
            </w:r>
          </w:p>
        </w:tc>
        <w:tc>
          <w:tcPr>
            <w:tcW w:w="2747" w:type="dxa"/>
          </w:tcPr>
          <w:p w14:paraId="152D6555" w14:textId="554D04BD" w:rsidR="00A86F9C" w:rsidRPr="00D6203E" w:rsidRDefault="00677715" w:rsidP="006C78A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de-DE"/>
              </w:rPr>
            </w:pPr>
            <w:r w:rsidRPr="00EB6BBC">
              <w:rPr>
                <w:rFonts w:ascii="Times New Roman" w:hAnsi="Times New Roman" w:cs="Times New Roman"/>
              </w:rPr>
              <w:t>This statistic indicates how much a country spends in R&amp;D via grants, research proposals, and bonuses. It encourages innovative technologies, such as hydrogen technology.</w:t>
            </w:r>
            <w:r w:rsidR="008B11E8">
              <w:rPr>
                <w:rFonts w:ascii="Times New Roman" w:hAnsi="Times New Roman" w:cs="Times New Roman"/>
              </w:rPr>
              <w:t xml:space="preserve"> Based on </w:t>
            </w:r>
            <w:r w:rsidR="00EA141E">
              <w:rPr>
                <w:rFonts w:ascii="Times New Roman" w:hAnsi="Times New Roman" w:cs="Times New Roman"/>
              </w:rPr>
              <w:fldChar w:fldCharType="begin"/>
            </w:r>
            <w:r w:rsidR="00EA141E">
              <w:rPr>
                <w:rFonts w:ascii="Times New Roman" w:hAnsi="Times New Roman" w:cs="Times New Roman"/>
              </w:rPr>
              <w:instrText xml:space="preserve"> ADDIN ZOTERO_ITEM CSL_CITATION {"citationID":"x1vAAzjy","properties":{"formattedCitation":"(Balsalobre-Lorente et al., 2021; Chen et al., 2022; Wei et al., 2023)","plainCitation":"(Balsalobre-Lorente et al., 2021; Chen et al., 2022; Wei et al., 2023)","noteIndex":0},"citationItems":[{"id":817,"uris":["http://zotero.org/users/9823736/items/W6PUYGDX"],"itemData":{"id":817,"type":"article-journal","abstract":"This paper aims to measure the effect of tax contributions in promoting innovation while highlighting the role of corporate taxes in governance quality in nations within and outside the Organization for Economic Co-operation and Development (OECD). The study applied the generalized method of moments (GMM) framework and found that good governance invariably increases the Innovation Index. Moreover, research and development expenditures revealed a positive association with the Innovation Index. However, corporate taxes and taxes paid by the business sector harm the Innovation Index. Following the investigation, we recommended that policymakers should plan well to balance the costs of innovation and tax incentives, to avoid stimulating unproductive innovations or affecting operating budgets.","container-title":"Journal of Open Innovation: Technology, Market, and Complexity","DOI":"10.3390/joitmc7010036","ISSN":"2199-8531","issue":"1","journalAbbreviation":"Journal of Open Innovation: Technology, Market, and Complexity","language":"en","page":"36","source":"ScienceDirect","title":"Taxes, R&amp;D Expenditures, and Open Innovation: Analyzing OECD Countries","title-short":"Taxes, R&amp;D Expenditures, and Open Innovation","volume":"7","author":[{"family":"Balsalobre-Lorente","given":"Daniel"},{"family":"Zeraibi","given":"Ayoub"},{"family":"Shehzad","given":"Khurram"},{"family":"Cantos-Cantos","given":"José María"}],"issued":{"date-parts":[["2021",3,1]]}}},{"id":816,"uris":["http://zotero.org/users/9823736/items/2EEMA78R"],"itemData":{"id":816,"type":"article-journal","abstract":"This study investigates innovation output by examining patents of listed companies with and without R&amp;D expenditure disclosures and the role of product market competition in R&amp;D expenditure disclosure choices when the institutional environment of an emerging market tends to be relatively transparent. Using the data of Chinese listed firms from 2007 to 2014, which provides an appropriate setting for our study, we find a positive relationship between R&amp;D expenditure disclosures and the quantity of patents and patent applications, which is consistent with the institutional hypothesis. Moreover, we show that in the absence of sufficient institutional protection, market competition has a negative effect on R&amp;D expenditure disclosures, which is consistent with the product market competition hypothesis. Further analyses show that this relation is affected by firm size, state ownership, loss-making, and analyst coverage. The results remain consistent after several robustness checks. This study contributes to the literature by shedding light on the usefulness of voluntary R&amp;D expenditure disclosures for predicting innovation outcomes in emerging markets.","container-title":"Technological Forecasting and Social Change","DOI":"10.1016/j.techfore.2021.121230","ISSN":"0040-1625","journalAbbreviation":"Technological Forecasting and Social Change","language":"en","page":"121230","source":"ScienceDirect","title":"Corporate innovation and R&amp;D expenditure disclosures","volume":"174","author":[{"family":"Chen","given":"Chao"},{"family":"Gu","given":"Junjian"},{"family":"Luo","given":"Rongxi"}],"issued":{"date-parts":[["2022",1,1]]}}},{"id":814,"uris":["http://zotero.org/users/9823736/items/DMIT4URS"],"itemData":{"id":814,"type":"article-journal","abstract":"The fiscal behavior of the governments can affect the green economy. Using the panel data of 276 cities from 2004 to 2019, this study examines the role of fiscal R&amp;D expenditure and education expenditure in the process of urban green technological innovation in China. It is found that fiscal R&amp;D and education expenditure can significantly promote green technological innovation, but the impact of fiscal expenditure in different periods and regions presents heterogeneity. More importantly, the urban economic growth pressure </w:instrText>
            </w:r>
            <w:r w:rsidR="00EA141E" w:rsidRPr="00D6203E">
              <w:rPr>
                <w:rFonts w:ascii="Times New Roman" w:hAnsi="Times New Roman" w:cs="Times New Roman"/>
                <w:lang w:val="de-DE"/>
              </w:rPr>
              <w:instrText xml:space="preserve">and fiscal pressure may affect the effect of fiscal expenditure, leading to the non-linear impact of fiscal expenditure on green technological innovation. With the increase of economic growth pressure and fiscal pressure, the positive effect of fiscal R&amp;D expenditure on green technological innovation becomes weaker, while the promotional effect of education expenditure on green technological innovation does not change significantly. In addition, the green technological innovation effect of fiscal R&amp;D and education expenditure can also indirectly reduce pollution emissions. In conclusion, optimizing the structure of fiscal expenditure is not only conducive to green technological innovation, but also improves environmental quality.","container-title":"Environmental Impact Assessment Review","DOI":"10.1016/j.eiar.2022.106945","ISSN":"0195-9255","journalAbbreviation":"Environmental Impact Assessment Review","language":"en","page":"106945","source":"ScienceDirect","title":"Does fiscal expenditure promote green technological innovation in China? Evidence from Chinese cities","title-short":"Does fiscal expenditure promote green technological innovation in China?","volume":"98","author":[{"family":"Wei","given":"Li"},{"family":"Lin","given":"Boqiang"},{"family":"Zheng","given":"Ziwei"},{"family":"Wu","given":"Wei"},{"family":"Zhou","given":"Yicheng"}],"issued":{"date-parts":[["2023",1,1]]}}}],"schema":"https://github.com/citation-style-language/schema/raw/master/csl-citation.json"} </w:instrText>
            </w:r>
            <w:r w:rsidR="00EA141E">
              <w:rPr>
                <w:rFonts w:ascii="Times New Roman" w:hAnsi="Times New Roman" w:cs="Times New Roman"/>
              </w:rPr>
              <w:fldChar w:fldCharType="separate"/>
            </w:r>
            <w:r w:rsidR="00EA141E" w:rsidRPr="00D6203E">
              <w:rPr>
                <w:rFonts w:ascii="Times New Roman" w:hAnsi="Times New Roman" w:cs="Times New Roman"/>
                <w:lang w:val="de-DE"/>
              </w:rPr>
              <w:t>(Balsalobre-Lorente et al., 2021; Chen et al., 2022; Wei et al., 2023)</w:t>
            </w:r>
            <w:r w:rsidR="00EA141E">
              <w:rPr>
                <w:rFonts w:ascii="Times New Roman" w:hAnsi="Times New Roman" w:cs="Times New Roman"/>
              </w:rPr>
              <w:fldChar w:fldCharType="end"/>
            </w:r>
            <w:r w:rsidR="005563C8" w:rsidRPr="00D6203E">
              <w:rPr>
                <w:rFonts w:ascii="Times New Roman" w:hAnsi="Times New Roman" w:cs="Times New Roman"/>
                <w:lang w:val="de-DE"/>
              </w:rPr>
              <w:t>.</w:t>
            </w:r>
          </w:p>
        </w:tc>
      </w:tr>
      <w:tr w:rsidR="00A86F9C" w:rsidRPr="00EB6BBC" w14:paraId="019815EC" w14:textId="77777777" w:rsidTr="00B92A0B">
        <w:tc>
          <w:tcPr>
            <w:cnfStyle w:val="001000000000" w:firstRow="0" w:lastRow="0" w:firstColumn="1" w:lastColumn="0" w:oddVBand="0" w:evenVBand="0" w:oddHBand="0" w:evenHBand="0" w:firstRowFirstColumn="0" w:firstRowLastColumn="0" w:lastRowFirstColumn="0" w:lastRowLastColumn="0"/>
            <w:tcW w:w="1536" w:type="dxa"/>
            <w:vAlign w:val="center"/>
          </w:tcPr>
          <w:p w14:paraId="38EE3494" w14:textId="6034F068" w:rsidR="00A86F9C" w:rsidRPr="00EB6BBC" w:rsidRDefault="00A86F9C" w:rsidP="00D6203E">
            <w:pPr>
              <w:jc w:val="center"/>
              <w:rPr>
                <w:rFonts w:ascii="Times New Roman" w:hAnsi="Times New Roman" w:cs="Times New Roman"/>
              </w:rPr>
            </w:pPr>
            <w:r w:rsidRPr="00EB6BBC">
              <w:rPr>
                <w:rFonts w:ascii="Times New Roman" w:hAnsi="Times New Roman" w:cs="Times New Roman"/>
              </w:rPr>
              <w:lastRenderedPageBreak/>
              <w:t>Number of passenger cars</w:t>
            </w:r>
          </w:p>
        </w:tc>
        <w:tc>
          <w:tcPr>
            <w:tcW w:w="2152" w:type="dxa"/>
            <w:vAlign w:val="center"/>
          </w:tcPr>
          <w:p w14:paraId="62BBDF22" w14:textId="355D86BD" w:rsidR="00A86F9C" w:rsidRPr="00EB6BBC" w:rsidRDefault="00A86F9C" w:rsidP="00D620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per 1000 inhabitants</w:t>
            </w:r>
          </w:p>
        </w:tc>
        <w:tc>
          <w:tcPr>
            <w:tcW w:w="2627" w:type="dxa"/>
            <w:vAlign w:val="center"/>
          </w:tcPr>
          <w:p w14:paraId="4E28AD29" w14:textId="211FF9B9" w:rsidR="00A86F9C" w:rsidRPr="00EB6BBC" w:rsidRDefault="00A86F9C" w:rsidP="00D620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6BBC">
              <w:rPr>
                <w:rFonts w:ascii="Times New Roman" w:hAnsi="Times New Roman" w:cs="Times New Roman"/>
                <w:b/>
                <w:bCs/>
                <w:sz w:val="28"/>
                <w:szCs w:val="28"/>
              </w:rPr>
              <w:t>+</w:t>
            </w:r>
          </w:p>
        </w:tc>
        <w:tc>
          <w:tcPr>
            <w:tcW w:w="2747" w:type="dxa"/>
          </w:tcPr>
          <w:p w14:paraId="2563D2BB" w14:textId="67CA41D9" w:rsidR="00A86F9C" w:rsidRPr="00EB6BBC" w:rsidRDefault="00135647" w:rsidP="006C78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This ratio indicates the number of automobiles per 1,000 people. It represents the strength of the local auto sector as an employer and its contribution to the local economy. This significant reliance compels both vendors and employers to comply with growing European emission regulations, such as via the use of hydrogen technology.</w:t>
            </w:r>
            <w:r w:rsidR="00ED3B88">
              <w:rPr>
                <w:rFonts w:ascii="Times New Roman" w:hAnsi="Times New Roman" w:cs="Times New Roman"/>
              </w:rPr>
              <w:t xml:space="preserve"> Based on </w:t>
            </w:r>
            <w:r w:rsidR="00ED3B88">
              <w:rPr>
                <w:rFonts w:ascii="Times New Roman" w:hAnsi="Times New Roman" w:cs="Times New Roman"/>
              </w:rPr>
              <w:fldChar w:fldCharType="begin"/>
            </w:r>
            <w:r w:rsidR="00ED3B88">
              <w:rPr>
                <w:rFonts w:ascii="Times New Roman" w:hAnsi="Times New Roman" w:cs="Times New Roman"/>
              </w:rPr>
              <w:instrText xml:space="preserve"> ADDIN ZOTERO_ITEM CSL_CITATION {"citationID":"SqBTeHIE","properties":{"formattedCitation":"(Blume-Kohout &amp; Sood, 2013; Hermosilla &amp; Wu, 2018)","plainCitation":"(Blume-Kohout &amp; Sood, 2013; Hermosilla &amp; Wu, 2018)","noteIndex":0},"citationItems":[{"id":823,"uris":["http://zotero.org/users/9823736/items/PT3ABA7Q"],"itemData":{"id":823,"type":"article-journal","abstract":"Recent evidence suggests that Medicare Part D increased prescription drug use among seniors, and increased pharmaceutical firms' revenues from sales. Previous studies also indicate that increases in market size induce pharmaceutical innovation. This paper assesses the impact of the Medicare Part D legislation on pharmaceutical research and development (R&amp;D), using time-series data on the number of drugs entering preclinical and clinical development by therapeutic class and phase. We find that the passage and implementation of Medicare Part D is associated with significant increases in pharmaceutical R&amp;D for therapeutic classes with higher Medicare market share.","container-title":"Journal of Public Economics","DOI":"10.1016/j.jpubeco.2012.10.003","ISSN":"0047-2727","journalAbbreviation":"Journal of Public Economics","language":"en","page":"327-336","source":"ScienceDirect","title":"Market size and innovation: Effects of Medicare Part D on pharmaceutical research and development","title-short":"Market size and innovation","volume":"97","author":[{"family":"Blume-Kohout","given":"Margaret E."},{"family":"Sood","given":"Neeraj"}],"issued":{"date-parts":[["2013",1,1]]}}},{"id":821,"uris":["http://zotero.org/users/9823736/items/6T57B4F2"],"itemData":{"id":821,"type":"article-journal","abstract":"Previous literature finds that larger downstream markets fuel the innovation of new technologies by incentivizing firms to spend more on R&amp;D. Our evidence shows that larger markets also increase the extent of licensing-based cooperation between upstream innovators and downstream commercializers. This cooperation is valuable because it pools firms’ complementary capabilities. Thus, downstream market expansions could positively impact innovative outcomes even holding R&amp;D expenditures constant. Evidence is drawn from the drug candidate licensing market, exploiting the quasi-experimental variation introduced by the enactment of the Medicare Part D program in 2003. A model for the determination of equilibrium commercialization strategies in Markets for Technology rationalizes our finding. In this framework, cooperation gains are proportional to market size but transaction costs are not. Thus, larger downstream markets foster cooperation by reducing the relative importance of the latter. To better match the empirical context, the model extends the canonical “one technology–one application” framework of related work, to the more general case of “composite technologies,” which may have more than one end-user application.","container-title":"Research Policy","DOI":"10.1016/j.respol.2018.03.003","ISSN":"0048-7333","issue":"5","journalAbbreviation":"Research Policy","language":"en","page":"980-991","source":"ScienceDirect","title":"Market size and innovation: The intermediary role of technology licensing","title-short":"Market size and innovation","volume":"47","author":[{"family":"Hermosilla","given":"Manuel"},{"family":"Wu","given":"Yufei"}],"issued":{"date-parts":[["2018",6,1]]}}}],"schema":"https://github.com/citation-style-language/schema/raw/master/csl-citation.json"} </w:instrText>
            </w:r>
            <w:r w:rsidR="00ED3B88">
              <w:rPr>
                <w:rFonts w:ascii="Times New Roman" w:hAnsi="Times New Roman" w:cs="Times New Roman"/>
              </w:rPr>
              <w:fldChar w:fldCharType="separate"/>
            </w:r>
            <w:r w:rsidR="00ED3B88" w:rsidRPr="00ED3B88">
              <w:rPr>
                <w:rFonts w:ascii="Times New Roman" w:hAnsi="Times New Roman" w:cs="Times New Roman"/>
              </w:rPr>
              <w:t>(Blume-Kohout &amp; Sood, 2013; Hermosilla &amp; Wu, 2018)</w:t>
            </w:r>
            <w:r w:rsidR="00ED3B88">
              <w:rPr>
                <w:rFonts w:ascii="Times New Roman" w:hAnsi="Times New Roman" w:cs="Times New Roman"/>
              </w:rPr>
              <w:fldChar w:fldCharType="end"/>
            </w:r>
            <w:r w:rsidR="005563C8">
              <w:rPr>
                <w:rFonts w:ascii="Times New Roman" w:hAnsi="Times New Roman" w:cs="Times New Roman"/>
              </w:rPr>
              <w:t>.</w:t>
            </w:r>
          </w:p>
        </w:tc>
      </w:tr>
      <w:tr w:rsidR="00A86F9C" w:rsidRPr="00EB6BBC" w14:paraId="0AFBC234" w14:textId="77777777" w:rsidTr="00B9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vAlign w:val="center"/>
          </w:tcPr>
          <w:p w14:paraId="428DA4E0" w14:textId="69F7A8AF" w:rsidR="00A86F9C" w:rsidRPr="00EB6BBC" w:rsidRDefault="00A86F9C" w:rsidP="00D6203E">
            <w:pPr>
              <w:jc w:val="center"/>
              <w:rPr>
                <w:rFonts w:ascii="Times New Roman" w:hAnsi="Times New Roman" w:cs="Times New Roman"/>
              </w:rPr>
            </w:pPr>
            <w:r w:rsidRPr="00EB6BBC">
              <w:rPr>
                <w:rFonts w:ascii="Times New Roman" w:hAnsi="Times New Roman" w:cs="Times New Roman"/>
              </w:rPr>
              <w:t>Number of passenger cars produced</w:t>
            </w:r>
          </w:p>
        </w:tc>
        <w:tc>
          <w:tcPr>
            <w:tcW w:w="2152" w:type="dxa"/>
            <w:vAlign w:val="center"/>
          </w:tcPr>
          <w:p w14:paraId="67885D05" w14:textId="0A34765F" w:rsidR="00A86F9C" w:rsidRPr="00EB6BBC" w:rsidRDefault="00A86F9C" w:rsidP="00D620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per 1000 inhabitants</w:t>
            </w:r>
          </w:p>
        </w:tc>
        <w:tc>
          <w:tcPr>
            <w:tcW w:w="2627" w:type="dxa"/>
            <w:vAlign w:val="center"/>
          </w:tcPr>
          <w:p w14:paraId="51EDB1F1" w14:textId="5343B520" w:rsidR="00A86F9C" w:rsidRPr="00EB6BBC" w:rsidRDefault="00A86F9C" w:rsidP="00D620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6BBC">
              <w:rPr>
                <w:rFonts w:ascii="Times New Roman" w:hAnsi="Times New Roman" w:cs="Times New Roman"/>
                <w:b/>
                <w:bCs/>
                <w:sz w:val="28"/>
                <w:szCs w:val="28"/>
              </w:rPr>
              <w:t>+</w:t>
            </w:r>
          </w:p>
        </w:tc>
        <w:tc>
          <w:tcPr>
            <w:tcW w:w="2747" w:type="dxa"/>
          </w:tcPr>
          <w:p w14:paraId="4EFAEA4F" w14:textId="2245FCB5" w:rsidR="00A86F9C" w:rsidRPr="00EB6BBC" w:rsidRDefault="00135647" w:rsidP="006C78A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High-vehicle-density nations depend on automobiles for a variety of reasons (convenience, lack of alternatives, long distances, etc.). They are more responsive to new technology and have higher buying power as a result</w:t>
            </w:r>
            <w:r w:rsidR="00DC284A">
              <w:rPr>
                <w:rFonts w:ascii="Times New Roman" w:hAnsi="Times New Roman" w:cs="Times New Roman"/>
              </w:rPr>
              <w:t xml:space="preserve"> Based on </w:t>
            </w:r>
            <w:r w:rsidR="00DC284A">
              <w:rPr>
                <w:rFonts w:ascii="Times New Roman" w:hAnsi="Times New Roman" w:cs="Times New Roman"/>
              </w:rPr>
              <w:fldChar w:fldCharType="begin"/>
            </w:r>
            <w:r w:rsidR="00DC284A">
              <w:rPr>
                <w:rFonts w:ascii="Times New Roman" w:hAnsi="Times New Roman" w:cs="Times New Roman"/>
              </w:rPr>
              <w:instrText xml:space="preserve"> ADDIN ZOTERO_ITEM CSL_CITATION {"citationID":"LREc5opp","properties":{"formattedCitation":"(Solarin et al., 2022)","plainCitation":"(Solarin et al., 2022)","noteIndex":0},"citationItems":[{"id":826,"uris":["http://zotero.org/users/9823736/items/GHVMS3VA"],"itemData":{"id":826,"type":"article-journal","abstract":"Advancement in renewables is one of the most effective techniques for sustained long-term development, and nations across the globe are making efforts to change their economic and industrial structures in a bid to boost green growth. With the advent of the Fourth Industrial Revolution (4IR), the availability, access, and use of green technologies including renewable energy have significantly improved. Researches on the factors that influence renewable energy production are available. However, we are unaware of any previous research that examines the role of renewable energy innovation in the promotion of renewable energy production. As a result, this study evaluates the impact of technical innovation on green growth from 1993 to 2018, while accounting for real GDP, producer price index, and CO2 emissions. Due to their pivotal status among the developing countries, our study has focused on the BRICS countries. By using a new panel quantile regression augmented with the method of moments, the empirical findings suggest that the influence of renewable energy innovation on renewable energy production is significantly positive across all quantiles. Moreover, the coefficients are generally bigger at the small quantiles, which suggests that countries with smaller renewable energy production per capita (India and South Africa) have a higher probability to experience a greater impact of renewable energy innovation per capita than countries with bigger renewable energy production per capita (Brazil and Russia).","container-title":"Heliyon","DOI":"10.1016/j.heliyon.2022.e09913","ISSN":"2405-8440","issue":"7","journalAbbreviation":"Heliyon","language":"en","page":"e09913","source":"ScienceDirect","title":"The impact of technological innovation on renewable energy production: accounting for the roles of economic and environmental factors using a method of moments quantile regression","title-short":"The impact of technological innovation on renewable energy production","volume":"8","author":[{"family":"Solarin","given":"Sakiru Adebola"},{"family":"Bello","given":"Mufutau Opeyemi"},{"family":"Tiwari","given":"Aviral Kumar"}],"issued":{"date-parts":[["2022",7,1]]}}}],"schema":"https://github.com/citation-style-language/schema/raw/master/csl-citation.json"} </w:instrText>
            </w:r>
            <w:r w:rsidR="00DC284A">
              <w:rPr>
                <w:rFonts w:ascii="Times New Roman" w:hAnsi="Times New Roman" w:cs="Times New Roman"/>
              </w:rPr>
              <w:fldChar w:fldCharType="separate"/>
            </w:r>
            <w:r w:rsidR="00DC284A" w:rsidRPr="00DC284A">
              <w:rPr>
                <w:rFonts w:ascii="Times New Roman" w:hAnsi="Times New Roman" w:cs="Times New Roman"/>
              </w:rPr>
              <w:t>(Solarin et al., 2022)</w:t>
            </w:r>
            <w:r w:rsidR="00DC284A">
              <w:rPr>
                <w:rFonts w:ascii="Times New Roman" w:hAnsi="Times New Roman" w:cs="Times New Roman"/>
              </w:rPr>
              <w:fldChar w:fldCharType="end"/>
            </w:r>
            <w:r w:rsidRPr="00EB6BBC">
              <w:rPr>
                <w:rFonts w:ascii="Times New Roman" w:hAnsi="Times New Roman" w:cs="Times New Roman"/>
              </w:rPr>
              <w:t>.</w:t>
            </w:r>
          </w:p>
        </w:tc>
      </w:tr>
      <w:tr w:rsidR="00A86F9C" w:rsidRPr="00EB6BBC" w14:paraId="019F02D4" w14:textId="77777777" w:rsidTr="00B92A0B">
        <w:tc>
          <w:tcPr>
            <w:cnfStyle w:val="001000000000" w:firstRow="0" w:lastRow="0" w:firstColumn="1" w:lastColumn="0" w:oddVBand="0" w:evenVBand="0" w:oddHBand="0" w:evenHBand="0" w:firstRowFirstColumn="0" w:firstRowLastColumn="0" w:lastRowFirstColumn="0" w:lastRowLastColumn="0"/>
            <w:tcW w:w="1536" w:type="dxa"/>
            <w:vAlign w:val="center"/>
          </w:tcPr>
          <w:p w14:paraId="7755EEC6" w14:textId="5D0F38C9" w:rsidR="00A86F9C" w:rsidRPr="00EB6BBC" w:rsidRDefault="00A86F9C" w:rsidP="00D6203E">
            <w:pPr>
              <w:jc w:val="center"/>
              <w:rPr>
                <w:rFonts w:ascii="Times New Roman" w:hAnsi="Times New Roman" w:cs="Times New Roman"/>
              </w:rPr>
            </w:pPr>
            <w:r w:rsidRPr="00EB6BBC">
              <w:rPr>
                <w:rFonts w:ascii="Times New Roman" w:hAnsi="Times New Roman" w:cs="Times New Roman"/>
              </w:rPr>
              <w:t>The number of hydrogen filling stations</w:t>
            </w:r>
          </w:p>
        </w:tc>
        <w:tc>
          <w:tcPr>
            <w:tcW w:w="2152" w:type="dxa"/>
            <w:vAlign w:val="center"/>
          </w:tcPr>
          <w:p w14:paraId="7722B639" w14:textId="793DABB4" w:rsidR="00A86F9C" w:rsidRPr="00EB6BBC" w:rsidRDefault="00A86F9C" w:rsidP="00D620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per 1 million inhabitants</w:t>
            </w:r>
          </w:p>
        </w:tc>
        <w:tc>
          <w:tcPr>
            <w:tcW w:w="2627" w:type="dxa"/>
            <w:vAlign w:val="center"/>
          </w:tcPr>
          <w:p w14:paraId="1F7A9E17" w14:textId="5469BA73" w:rsidR="00A86F9C" w:rsidRPr="00EB6BBC" w:rsidRDefault="00A86F9C" w:rsidP="00D620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6BBC">
              <w:rPr>
                <w:rFonts w:ascii="Times New Roman" w:hAnsi="Times New Roman" w:cs="Times New Roman"/>
                <w:b/>
                <w:bCs/>
                <w:sz w:val="28"/>
                <w:szCs w:val="28"/>
              </w:rPr>
              <w:t>+</w:t>
            </w:r>
          </w:p>
        </w:tc>
        <w:tc>
          <w:tcPr>
            <w:tcW w:w="2747" w:type="dxa"/>
          </w:tcPr>
          <w:p w14:paraId="36B61060" w14:textId="308F8BCC" w:rsidR="00A86F9C" w:rsidRPr="00EB6BBC" w:rsidRDefault="00B46804" w:rsidP="006C78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This variable indicates the total quantity of hydrogen refuelling stations. The infrastructure is more advanced the higher the number. A clear incentive impact exists.</w:t>
            </w:r>
            <w:r w:rsidR="008D4C66">
              <w:rPr>
                <w:rFonts w:ascii="Times New Roman" w:hAnsi="Times New Roman" w:cs="Times New Roman"/>
              </w:rPr>
              <w:t xml:space="preserve"> Based on </w:t>
            </w:r>
            <w:r w:rsidR="008D4C66">
              <w:rPr>
                <w:rFonts w:ascii="Times New Roman" w:hAnsi="Times New Roman" w:cs="Times New Roman"/>
              </w:rPr>
              <w:fldChar w:fldCharType="begin"/>
            </w:r>
            <w:r w:rsidR="008D4C66">
              <w:rPr>
                <w:rFonts w:ascii="Times New Roman" w:hAnsi="Times New Roman" w:cs="Times New Roman"/>
              </w:rPr>
              <w:instrText xml:space="preserve"> ADDIN ZOTERO_ITEM CSL_CITATION {"citationID":"JqctNZJt","properties":{"formattedCitation":"(Acheampong et al., 2022; Naeem et al., 2023)","plainCitation":"(Acheampong et al., 2022; Naeem et al., 2023)","noteIndex":0},"citationItems":[{"id":829,"uris":["http://zotero.org/users/9823736/items/GSS3KUS5"],"itemData":{"id":829,"type":"article-journal","abstract":"This study investigates the impact of transport infrastructure and technological innovation on economic growth (GDP), energy consumption (EC) and carbon emissions (CO2e) in the European Union (EU) using the dynamic system-generalised method of moment and data from 1995 to 2019. The results indicate that EC unidirectionally increases GDP, while GDP and EC reduce and increase CO2e, respectively. The results also demonstrate that innovation directly increases GDP and EC; however, freight transport infrastructure increases GDP and CO2e while reducing EC. The nonlinear analysis reveals that innovation has a U-shaped relationship with GDP and an inverted U-shaped relationship with EC. Furthermore, our results demonstrate that freight and rail infrastructure have an inverted U-shaped relationship with CO2e and no nonlinear relationship with GDP. Again, the rail infrastructure has a U-shaped relationship with EC. The conditional effect analysis reveals that freight and rail infrastructure interact with innovation to raise GDP. The findings indicate that freight transport infrastructure interacts with innovation to reduce EC and CO2e. Finally, rail and freight infrastructure interact with trade and foreign direct investment to influence GDP, EC and CO2e. Subsequently, EU countries must emphasise and enhance technological innovation to achieve energy efficiency.","container-title":"Technological Forecasting and Social Change","DOI":"10.1016/j.techfore.2022.121843","ISSN":"0040-1625","journalAbbreviation":"Technological Forecasting and Social Change","language":"en","page":"121843","source":"ScienceDirect","title":"Unveiling the effect of transport infrastructure and technological innovation on economic growth, energy consumption and CO2 emissions","volume":"182","author":[{"family":"Acheampong","given":"Alex O."},{"family":"Dzator","given":"Janet"},{"family":"Dzator","given":"Michael"},{"family":"Salim","given":"Ruhul"}],"issued":{"date-parts":[["2022",9,1]]}}},{"id":830,"uris":["http://zotero.org/users/9823736/items/ESD6AHHR"],"itemData":{"id":830,"type":"article-journal","abstract":"The study investigates the impact of infrastructure, industrialization, and innovation in improving environmental efficiency in Africa toward addressing the pressing needs for environmental sustainability in the region. The study employed both Data Envelopment Analysis (DEA) and Driscoll &amp; Kraay methods to data collected for 19 African countries from 2000 to 2019. The results show a negative and significant relationship between infrastructure, industrialization, and innovation and the environmental efficiency in selected countries. Furthermore, our findings indicate that growth and energy demand have both positive and negative effects on these relationships. This paper has important policy implications, and we conclude that policies aiming at the development of both infrastructure and industry should consider the use of green technology to ensure sustainable development and environmental protection.","container-title":"Technological Forecasting and Social Change","DOI":"10.1016/j.techfore.2022.122172","ISSN":"0040-1625","journalAbbreviation":"Technological Forecasting and Social Change","language":"en","page":"122172","source":"ScienceDirect","title":"What abates environmental efficiency in African economies? Exploring the influence of infrastructure, industrialization, and innovation","title-short":"What abates environmental efficiency in African economies?","volume":"186","author":[{"family":"Naeem","given":"Muhammad Abubakr"},{"family":"Appiah","given":"Michael"},{"family":"Karim","given":"Sitara"},{"family":"Yarovaya","given":"Larisa"}],"issued":{"date-parts":[["2023",1,1]]}}}],"schema":"https://github.com/citation-style-language/schema/raw/master/csl-citation.json"} </w:instrText>
            </w:r>
            <w:r w:rsidR="008D4C66">
              <w:rPr>
                <w:rFonts w:ascii="Times New Roman" w:hAnsi="Times New Roman" w:cs="Times New Roman"/>
              </w:rPr>
              <w:fldChar w:fldCharType="separate"/>
            </w:r>
            <w:r w:rsidR="008D4C66" w:rsidRPr="008D4C66">
              <w:rPr>
                <w:rFonts w:ascii="Times New Roman" w:hAnsi="Times New Roman" w:cs="Times New Roman"/>
              </w:rPr>
              <w:t>(Acheampong et al., 2022; Naeem et al., 2023)</w:t>
            </w:r>
            <w:r w:rsidR="008D4C66">
              <w:rPr>
                <w:rFonts w:ascii="Times New Roman" w:hAnsi="Times New Roman" w:cs="Times New Roman"/>
              </w:rPr>
              <w:fldChar w:fldCharType="end"/>
            </w:r>
            <w:r w:rsidR="005563C8">
              <w:rPr>
                <w:rFonts w:ascii="Times New Roman" w:hAnsi="Times New Roman" w:cs="Times New Roman"/>
              </w:rPr>
              <w:t>.</w:t>
            </w:r>
          </w:p>
        </w:tc>
      </w:tr>
      <w:tr w:rsidR="00A86F9C" w:rsidRPr="00EB6BBC" w14:paraId="7BB323DF" w14:textId="77777777" w:rsidTr="00B9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vAlign w:val="center"/>
          </w:tcPr>
          <w:p w14:paraId="4C3C2B39" w14:textId="659DB18A" w:rsidR="00A86F9C" w:rsidRPr="00EB6BBC" w:rsidRDefault="00A86F9C" w:rsidP="00D6203E">
            <w:pPr>
              <w:jc w:val="center"/>
              <w:rPr>
                <w:rFonts w:ascii="Times New Roman" w:hAnsi="Times New Roman" w:cs="Times New Roman"/>
              </w:rPr>
            </w:pPr>
            <w:r w:rsidRPr="00EB6BBC">
              <w:rPr>
                <w:rFonts w:ascii="Times New Roman" w:hAnsi="Times New Roman" w:cs="Times New Roman"/>
              </w:rPr>
              <w:t>Hydrogen production capacity</w:t>
            </w:r>
          </w:p>
        </w:tc>
        <w:tc>
          <w:tcPr>
            <w:tcW w:w="2152" w:type="dxa"/>
            <w:vAlign w:val="center"/>
          </w:tcPr>
          <w:p w14:paraId="629A2F88" w14:textId="690235FE" w:rsidR="00A86F9C" w:rsidRPr="00EB6BBC" w:rsidRDefault="00797D46" w:rsidP="00D620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 xml:space="preserve">Tons </w:t>
            </w:r>
            <w:r w:rsidR="00A86F9C" w:rsidRPr="00EB6BBC">
              <w:rPr>
                <w:rFonts w:ascii="Times New Roman" w:hAnsi="Times New Roman" w:cs="Times New Roman"/>
              </w:rPr>
              <w:t>per 1 million inhabitants</w:t>
            </w:r>
          </w:p>
        </w:tc>
        <w:tc>
          <w:tcPr>
            <w:tcW w:w="2627" w:type="dxa"/>
            <w:vAlign w:val="center"/>
          </w:tcPr>
          <w:p w14:paraId="4D06383B" w14:textId="4F2BE918" w:rsidR="00A86F9C" w:rsidRPr="00EB6BBC" w:rsidRDefault="00A86F9C" w:rsidP="00D620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p w14:paraId="5E3FCD10" w14:textId="02A8018F" w:rsidR="00A86F9C" w:rsidRPr="00EB6BBC" w:rsidRDefault="00A86F9C" w:rsidP="00D620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6BBC">
              <w:rPr>
                <w:rFonts w:ascii="Times New Roman" w:hAnsi="Times New Roman" w:cs="Times New Roman"/>
                <w:b/>
                <w:bCs/>
                <w:sz w:val="28"/>
                <w:szCs w:val="28"/>
              </w:rPr>
              <w:t>+</w:t>
            </w:r>
          </w:p>
        </w:tc>
        <w:tc>
          <w:tcPr>
            <w:tcW w:w="2747" w:type="dxa"/>
          </w:tcPr>
          <w:p w14:paraId="3B5309FE" w14:textId="0DF2EDB9" w:rsidR="00A86F9C" w:rsidRPr="00EB6BBC" w:rsidRDefault="00904DCC" w:rsidP="006C78A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In analysing the hydrogen plans of nations, national governments anticipate that a greater proportion of domestic production will have a favourable impact.</w:t>
            </w:r>
            <w:r w:rsidR="005478B4">
              <w:rPr>
                <w:rFonts w:ascii="Times New Roman" w:hAnsi="Times New Roman" w:cs="Times New Roman"/>
              </w:rPr>
              <w:t xml:space="preserve"> Based on </w:t>
            </w:r>
            <w:r w:rsidR="008539C0">
              <w:rPr>
                <w:rFonts w:ascii="Times New Roman" w:hAnsi="Times New Roman" w:cs="Times New Roman"/>
              </w:rPr>
              <w:fldChar w:fldCharType="begin"/>
            </w:r>
            <w:r w:rsidR="008539C0">
              <w:rPr>
                <w:rFonts w:ascii="Times New Roman" w:hAnsi="Times New Roman" w:cs="Times New Roman"/>
              </w:rPr>
              <w:instrText xml:space="preserve"> ADDIN ZOTERO_ITEM CSL_CITATION {"citationID":"HsHHoR0d","properties":{"formattedCitation":"(Gordon et al., 2022; Lozano et al., 2022)","plainCitation":"(Gordon et al., 2022; Lozano et al., 2022)","noteIndex":0},"citationItems":[{"id":834,"uris":["http://zotero.org/users/9823736/items/6797YY9C"],"itemData":{"id":834,"type":"article-journal","abstract":"Decarbonization in several countries is now linked to the prospect of implementing a national hydrogen economy. In countries with extensive natural gas infrastructure, hydrogen may provide a real opportunity to decarbonize space heating. While this approach may prove technically and economically feasible in the long-term, it is unclear whether consumers will be willing to adopt hydrogen-fueled appliances for heating and cooking should techno-economic feasibility be achieved. In response, this paper develops an analytical framework for examining hydrogen acceptance which links together socio-technical barriers and social acceptance factors. Applying this framework, the study synthesizes the existing knowledge on public perceptions of hydrogen and identifies critical knowledge gaps which should be addressed to support domestic hydrogen acceptance. The paper demonstrates that a future research agenda should account for the interactions between acceptance factors at the attitudinal, socio-political, market, community, and behavioral level. The analysis concludes that hydrogen is yet to permeate the public consciousness due to a lack of knowledge and awareness, owing to an absence of information dissemination. In response, consumer engagement in energy markets and stronger public trust in key stakeholders will help support social acceptance as the hydrogen transition unfolds. Affordability may prove the most critical barrier to the large-scale adoption of hydrogen homes, while the disruptive impacts of the switchover and distributional injustice represent key concerns. As a starting point, the promise of economic, environmental, and community benefits must be communicated and fulfilled to endorse the value of hydrogen homes.","container-title":"Renewable and Sustainable Energy Reviews","DOI":"10.1016/j.rser.2022.112481","ISSN":"1364-0321","journalAbbreviation":"Renewable and Sustainable Energy Reviews","language":"en","page":"112481","source":"ScienceDirect","title":"Homes of the future: Unpacking public perceptions to power the domestic hydrogen transition","title-short":"Homes of the future","volume":"164","author":[{"family":"Gordon","given":"Joel A."},{"family":"Balta-Ozkan","given":"Nazmiye"},{"family":"Nabavi","given":"Seyed Ali"}],"issued":{"date-parts":[["2022",8,1]]}}},{"id":835,"uris":["http://zotero.org/users/9823736/items/YTJFNH5T"],"itemData":{"id":835,"type":"article-journal","abstract":"With the urgent need to decarbonise the world's energy system, clean hydrogen is emerging as a potential technological solution. As with any new technology, understanding the public's response to hydrogen is critical to its success. Most studies examining public attitudes towards hydrogen have focused on refuelling stations and transport options. As a first of its kind, using a national survey (N = 2785) we evaluate the Australian public's response towards hydrogen for domestic and export use. In Australia, acceptance of hydrogen in domestic applications was influenced by its relative cost, ability to reduce air pollution and associated health benefits. Further, support for a hydrogen export industry was influenced by levels of trust in the government to manage the associated risks and the industry's commitment to climate protection. The paper concludes that effective, nuanced communication and engagement along with supporting financial policies will be critical in facilitating societal acceptance of hydrogen in Australia.","container-title":"International Journal of Hydrogen Energy","DOI":"10.1016/j.ijhydene.2022.06.209","ISSN":"0360-3199","issue":"67","journalAbbreviation":"International Journal of Hydrogen Energy","language":"en","page":"28806-28818","source":"ScienceDirect","title":"Societal acceptance of hydrogen for domestic and export applications in Australia","volume":"47","author":[{"family":"Lozano","given":"Lina Lopez"},{"family":"Bharadwaj","given":"Bishal"},{"family":"Sales","given":"Alain","non-dropping-particle":"de"},{"family":"Kambo","given":"Amrita"},{"family":"Ashworth","given":"Peta"}],"issued":{"date-parts":[["2022",8,5]]}}}],"schema":"https://github.com/citation-style-language/schema/raw/master/csl-citation.json"} </w:instrText>
            </w:r>
            <w:r w:rsidR="008539C0">
              <w:rPr>
                <w:rFonts w:ascii="Times New Roman" w:hAnsi="Times New Roman" w:cs="Times New Roman"/>
              </w:rPr>
              <w:fldChar w:fldCharType="separate"/>
            </w:r>
            <w:r w:rsidR="008539C0" w:rsidRPr="008539C0">
              <w:rPr>
                <w:rFonts w:ascii="Times New Roman" w:hAnsi="Times New Roman" w:cs="Times New Roman"/>
              </w:rPr>
              <w:t>(Gordon et al., 2022; Lozano et al., 2022)</w:t>
            </w:r>
            <w:r w:rsidR="008539C0">
              <w:rPr>
                <w:rFonts w:ascii="Times New Roman" w:hAnsi="Times New Roman" w:cs="Times New Roman"/>
              </w:rPr>
              <w:fldChar w:fldCharType="end"/>
            </w:r>
            <w:r w:rsidR="005563C8">
              <w:rPr>
                <w:rFonts w:ascii="Times New Roman" w:hAnsi="Times New Roman" w:cs="Times New Roman"/>
              </w:rPr>
              <w:t>.</w:t>
            </w:r>
          </w:p>
        </w:tc>
      </w:tr>
      <w:tr w:rsidR="00904DCC" w:rsidRPr="00EB6BBC" w14:paraId="7FABD0BF" w14:textId="77777777" w:rsidTr="00B92A0B">
        <w:tc>
          <w:tcPr>
            <w:cnfStyle w:val="001000000000" w:firstRow="0" w:lastRow="0" w:firstColumn="1" w:lastColumn="0" w:oddVBand="0" w:evenVBand="0" w:oddHBand="0" w:evenHBand="0" w:firstRowFirstColumn="0" w:firstRowLastColumn="0" w:lastRowFirstColumn="0" w:lastRowLastColumn="0"/>
            <w:tcW w:w="1536" w:type="dxa"/>
            <w:vAlign w:val="center"/>
          </w:tcPr>
          <w:p w14:paraId="2274109C" w14:textId="6FD67A3D" w:rsidR="00904DCC" w:rsidRPr="00EB6BBC" w:rsidRDefault="00904DCC" w:rsidP="00D6203E">
            <w:pPr>
              <w:jc w:val="center"/>
              <w:rPr>
                <w:rFonts w:ascii="Times New Roman" w:hAnsi="Times New Roman" w:cs="Times New Roman"/>
              </w:rPr>
            </w:pPr>
            <w:r w:rsidRPr="00EB6BBC">
              <w:rPr>
                <w:rFonts w:ascii="Times New Roman" w:hAnsi="Times New Roman" w:cs="Times New Roman"/>
              </w:rPr>
              <w:t>Electricity prices for household consumers</w:t>
            </w:r>
          </w:p>
        </w:tc>
        <w:tc>
          <w:tcPr>
            <w:tcW w:w="2152" w:type="dxa"/>
            <w:vAlign w:val="center"/>
          </w:tcPr>
          <w:p w14:paraId="0A094987" w14:textId="67DBD33C" w:rsidR="00904DCC" w:rsidRPr="00EB6BBC" w:rsidRDefault="00904DCC" w:rsidP="00D620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Purchasing Power Standard/</w:t>
            </w:r>
            <w:proofErr w:type="spellStart"/>
            <w:r w:rsidRPr="00EB6BBC">
              <w:rPr>
                <w:rFonts w:ascii="Times New Roman" w:hAnsi="Times New Roman" w:cs="Times New Roman"/>
              </w:rPr>
              <w:t>KWh</w:t>
            </w:r>
            <w:proofErr w:type="spellEnd"/>
          </w:p>
        </w:tc>
        <w:tc>
          <w:tcPr>
            <w:tcW w:w="2627" w:type="dxa"/>
            <w:vAlign w:val="center"/>
          </w:tcPr>
          <w:p w14:paraId="25743AB8" w14:textId="63D8AA47" w:rsidR="00904DCC" w:rsidRPr="00EB6BBC" w:rsidRDefault="00904DCC" w:rsidP="00D620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6BBC">
              <w:rPr>
                <w:rFonts w:ascii="Times New Roman" w:hAnsi="Times New Roman" w:cs="Times New Roman"/>
                <w:b/>
                <w:bCs/>
                <w:sz w:val="28"/>
                <w:szCs w:val="28"/>
              </w:rPr>
              <w:t>-</w:t>
            </w:r>
          </w:p>
        </w:tc>
        <w:tc>
          <w:tcPr>
            <w:tcW w:w="2747" w:type="dxa"/>
          </w:tcPr>
          <w:p w14:paraId="59ADE80B" w14:textId="1B7EBAA0" w:rsidR="00904DCC" w:rsidRPr="00EB6BBC" w:rsidRDefault="00904DCC" w:rsidP="006C78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 xml:space="preserve">Increasing electricity costs, the major source of green hydrogen generated by electrolysis using wind or solar energy, are the exact opposite of rising gasoline prices. The commercial adoption of alternative propulsion systems </w:t>
            </w:r>
            <w:proofErr w:type="spellStart"/>
            <w:r w:rsidRPr="00EB6BBC">
              <w:rPr>
                <w:rFonts w:ascii="Times New Roman" w:hAnsi="Times New Roman" w:cs="Times New Roman"/>
              </w:rPr>
              <w:t>fueled</w:t>
            </w:r>
            <w:proofErr w:type="spellEnd"/>
            <w:r w:rsidRPr="00EB6BBC">
              <w:rPr>
                <w:rFonts w:ascii="Times New Roman" w:hAnsi="Times New Roman" w:cs="Times New Roman"/>
              </w:rPr>
              <w:t xml:space="preserve"> by sustainably produced energy will be greatly hampered by high electricity </w:t>
            </w:r>
            <w:r w:rsidRPr="00EB6BBC">
              <w:rPr>
                <w:rFonts w:ascii="Times New Roman" w:hAnsi="Times New Roman" w:cs="Times New Roman"/>
              </w:rPr>
              <w:lastRenderedPageBreak/>
              <w:t>costs.</w:t>
            </w:r>
            <w:r w:rsidR="00210FDE">
              <w:rPr>
                <w:rFonts w:ascii="Times New Roman" w:hAnsi="Times New Roman" w:cs="Times New Roman"/>
              </w:rPr>
              <w:t xml:space="preserve"> Based on </w:t>
            </w:r>
            <w:r w:rsidR="00210FDE">
              <w:rPr>
                <w:rFonts w:ascii="Times New Roman" w:hAnsi="Times New Roman" w:cs="Times New Roman"/>
              </w:rPr>
              <w:fldChar w:fldCharType="begin"/>
            </w:r>
            <w:r w:rsidR="00210FDE">
              <w:rPr>
                <w:rFonts w:ascii="Times New Roman" w:hAnsi="Times New Roman" w:cs="Times New Roman"/>
              </w:rPr>
              <w:instrText xml:space="preserve"> ADDIN ZOTERO_ITEM CSL_CITATION {"citationID":"we9kVeFY","properties":{"formattedCitation":"(Durante et al., 2022; Macedo et al., 2022)","plainCitation":"(Durante et al., 2022; Macedo et al., 2022)","noteIndex":0},"citationItems":[{"id":839,"uris":["http://zotero.org/users/9823736/items/PJWZ72Z3"],"itemData":{"id":839,"type":"article-journal","abstract":"This paper examines the dependence between electricity prices, demand, and renewable energy sources by means of a multivariate copula model while studying Germany, the widest studied market in Europe. The inter-dependencies are investigated in-depth and monitored over time, with particular emphasis on the tail behavior. To this end, suitable tail dependence measures are introduced to take into account a multivariate extreme scenario appropriately identified through the Kendall’s distribution function. The empirical evidence demonstrates a strong association between electricity prices, renewable energy sources, and demand within a day and over the studied years. Hence, this analysis provides guidance for further and different incentives for promoting green energy generation while considering the time-varying dependencies of the involved variables.","container-title":"Information Sciences","DOI":"10.1016/j.ins.2022.01.003","ISSN":"0020-0255","journalAbbreviation":"Information Sciences","language":"en","page":"74-89","source":"ScienceDirect","title":"A multivariate dependence analysis for electricity prices, demand and renewable energy sources","volume":"590","author":[{"family":"Durante","given":"Fabrizio"},{"family":"Gianfreda","given":"Angelica"},{"family":"Ravazzolo","given":"Francesco"},{"family":"Rossini","given":"Luca"}],"issued":{"date-parts":[["2022",4,1]]}}},{"id":840,"uris":["http://zotero.org/users/9823736/items/88Z3JZSA"],"itemData":{"id":840,"type":"article-journal","abstract":"Electricity markets are becoming increasingly interconnected, in part, to deal with unpredictability and imbalances in electricity prices. This paper assesses how electricity flows and generation from wind and solar photovoltaic (PV) power impact the volatility and mean of day-ahead electricity prices in Spain. It finds there is a merit order effect from wind and solar PV power at most times of the day, which varies in magnitude for each of the 24 h. Electricity production from wind power is also found to play a clear role in increasing price volatility at all hours. Electricity inflow is shown to decrease both the mean and volatility of the electricity prices. The volatility of electricity prices is revealed to be highly persistent, and thus prone to large transmission shocks. This volatility is also susceptible to new shocks, which may indicate a tendency by market participants to overreact to unexpected shocks in electricity prices, possibly due to the relatively small size of the Iberian electricity market.","container-title":"Economic Analysis and Policy","DOI":"10.1016/j.eap.2022.10.001","ISSN":"0313-5926","journalAbbreviation":"Economic Analysis and Policy","language":"en","page":"885-900","source":"ScienceDirect","title":"The role of electricity flows and renewable electricity production in the behaviour of electricity prices in Spain","volume":"76","author":[{"family":"Macedo","given":"Daniela Pereira"},{"family":"Marques","given":"António Cardoso"},{"family":"Damette","given":"Olivier"}],"issued":{"date-parts":[["2022",12,1]]}}}],"schema":"https://github.com/citation-style-language/schema/raw/master/csl-citation.json"} </w:instrText>
            </w:r>
            <w:r w:rsidR="00210FDE">
              <w:rPr>
                <w:rFonts w:ascii="Times New Roman" w:hAnsi="Times New Roman" w:cs="Times New Roman"/>
              </w:rPr>
              <w:fldChar w:fldCharType="separate"/>
            </w:r>
            <w:r w:rsidR="00210FDE" w:rsidRPr="00210FDE">
              <w:rPr>
                <w:rFonts w:ascii="Times New Roman" w:hAnsi="Times New Roman" w:cs="Times New Roman"/>
              </w:rPr>
              <w:t>(Durante et al., 2022; Macedo et al., 2022)</w:t>
            </w:r>
            <w:r w:rsidR="00210FDE">
              <w:rPr>
                <w:rFonts w:ascii="Times New Roman" w:hAnsi="Times New Roman" w:cs="Times New Roman"/>
              </w:rPr>
              <w:fldChar w:fldCharType="end"/>
            </w:r>
            <w:r w:rsidR="005563C8">
              <w:rPr>
                <w:rFonts w:ascii="Times New Roman" w:hAnsi="Times New Roman" w:cs="Times New Roman"/>
              </w:rPr>
              <w:t>.</w:t>
            </w:r>
          </w:p>
        </w:tc>
      </w:tr>
      <w:tr w:rsidR="00A86F9C" w:rsidRPr="00EB6BBC" w14:paraId="4E857ADB" w14:textId="77777777" w:rsidTr="00B9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vAlign w:val="center"/>
          </w:tcPr>
          <w:p w14:paraId="4104BBEA" w14:textId="77777777" w:rsidR="00A86F9C" w:rsidRPr="00EB6BBC" w:rsidRDefault="00A86F9C" w:rsidP="00D6203E">
            <w:pPr>
              <w:jc w:val="center"/>
              <w:rPr>
                <w:rFonts w:ascii="Times New Roman" w:hAnsi="Times New Roman" w:cs="Times New Roman"/>
                <w:color w:val="000000"/>
              </w:rPr>
            </w:pPr>
            <w:r w:rsidRPr="00EB6BBC">
              <w:rPr>
                <w:rFonts w:ascii="Times New Roman" w:hAnsi="Times New Roman" w:cs="Times New Roman"/>
                <w:color w:val="000000"/>
              </w:rPr>
              <w:lastRenderedPageBreak/>
              <w:t>Share of zero-emission vehicles in newly registered passenger cars</w:t>
            </w:r>
          </w:p>
          <w:p w14:paraId="7D743F05" w14:textId="172ADF00" w:rsidR="00A86F9C" w:rsidRPr="00EB6BBC" w:rsidRDefault="00A86F9C" w:rsidP="00D6203E">
            <w:pPr>
              <w:jc w:val="center"/>
              <w:rPr>
                <w:rFonts w:ascii="Times New Roman" w:hAnsi="Times New Roman" w:cs="Times New Roman"/>
              </w:rPr>
            </w:pPr>
          </w:p>
        </w:tc>
        <w:tc>
          <w:tcPr>
            <w:tcW w:w="2152" w:type="dxa"/>
            <w:vAlign w:val="center"/>
          </w:tcPr>
          <w:p w14:paraId="6AAA7CA9" w14:textId="0AB6CB31" w:rsidR="00A86F9C" w:rsidRPr="00EB6BBC" w:rsidRDefault="00A86F9C" w:rsidP="00D620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w:t>
            </w:r>
          </w:p>
        </w:tc>
        <w:tc>
          <w:tcPr>
            <w:tcW w:w="2627" w:type="dxa"/>
            <w:vAlign w:val="center"/>
          </w:tcPr>
          <w:p w14:paraId="0C2CBA38" w14:textId="7FF16487" w:rsidR="00A86F9C" w:rsidRPr="00EB6BBC" w:rsidRDefault="00A86F9C" w:rsidP="00D620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6BBC">
              <w:rPr>
                <w:rFonts w:ascii="Times New Roman" w:hAnsi="Times New Roman" w:cs="Times New Roman"/>
                <w:b/>
                <w:bCs/>
                <w:sz w:val="28"/>
                <w:szCs w:val="28"/>
              </w:rPr>
              <w:t>+</w:t>
            </w:r>
          </w:p>
        </w:tc>
        <w:tc>
          <w:tcPr>
            <w:tcW w:w="2747" w:type="dxa"/>
          </w:tcPr>
          <w:p w14:paraId="6FA2AAF5" w14:textId="5683A72F" w:rsidR="00A86F9C" w:rsidRPr="00EB6BBC" w:rsidRDefault="00C34B0B" w:rsidP="006C78A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Multiple technologies contribute to innovation. In the past, natural gas was a desired energy source that has since been superseded by battery-powered electric vehicles. They are all competing for the same thing, client acceptability and consequently market penetration, like hydrogen. Diverse technological marketplaces give more opportunities for innovation than concentrated ones.</w:t>
            </w:r>
          </w:p>
        </w:tc>
      </w:tr>
      <w:tr w:rsidR="00A86F9C" w:rsidRPr="00EB6BBC" w14:paraId="13CE8F1D" w14:textId="77777777" w:rsidTr="00B92A0B">
        <w:tc>
          <w:tcPr>
            <w:cnfStyle w:val="001000000000" w:firstRow="0" w:lastRow="0" w:firstColumn="1" w:lastColumn="0" w:oddVBand="0" w:evenVBand="0" w:oddHBand="0" w:evenHBand="0" w:firstRowFirstColumn="0" w:firstRowLastColumn="0" w:lastRowFirstColumn="0" w:lastRowLastColumn="0"/>
            <w:tcW w:w="1536" w:type="dxa"/>
            <w:vAlign w:val="center"/>
          </w:tcPr>
          <w:p w14:paraId="65CB760B" w14:textId="68B42DE1" w:rsidR="00A86F9C" w:rsidRPr="00EB6BBC" w:rsidRDefault="00A86F9C" w:rsidP="00D6203E">
            <w:pPr>
              <w:jc w:val="center"/>
              <w:rPr>
                <w:rFonts w:ascii="Times New Roman" w:hAnsi="Times New Roman" w:cs="Times New Roman"/>
              </w:rPr>
            </w:pPr>
            <w:r w:rsidRPr="00EB6BBC">
              <w:rPr>
                <w:rFonts w:ascii="Times New Roman" w:hAnsi="Times New Roman" w:cs="Times New Roman"/>
              </w:rPr>
              <w:t>Percentage of alternative fuels (electric, hybrid, etc.) regarding all (+diesel and petrol) new truck registrations</w:t>
            </w:r>
          </w:p>
        </w:tc>
        <w:tc>
          <w:tcPr>
            <w:tcW w:w="2152" w:type="dxa"/>
            <w:vAlign w:val="center"/>
          </w:tcPr>
          <w:p w14:paraId="5C1146D2" w14:textId="219DD7D7" w:rsidR="00A86F9C" w:rsidRPr="00EB6BBC" w:rsidRDefault="00A86F9C" w:rsidP="00D620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w:t>
            </w:r>
          </w:p>
        </w:tc>
        <w:tc>
          <w:tcPr>
            <w:tcW w:w="2627" w:type="dxa"/>
            <w:vAlign w:val="center"/>
          </w:tcPr>
          <w:p w14:paraId="497C7031" w14:textId="6CB0F76F" w:rsidR="00A86F9C" w:rsidRPr="00EB6BBC" w:rsidRDefault="00A86F9C" w:rsidP="00D620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6BBC">
              <w:rPr>
                <w:rFonts w:ascii="Times New Roman" w:hAnsi="Times New Roman" w:cs="Times New Roman"/>
                <w:b/>
                <w:bCs/>
                <w:sz w:val="28"/>
                <w:szCs w:val="28"/>
              </w:rPr>
              <w:t>+</w:t>
            </w:r>
          </w:p>
        </w:tc>
        <w:tc>
          <w:tcPr>
            <w:tcW w:w="2747" w:type="dxa"/>
          </w:tcPr>
          <w:p w14:paraId="45E8ECBB" w14:textId="421D2317" w:rsidR="00A86F9C" w:rsidRPr="00EB6BBC" w:rsidRDefault="00B92A0B" w:rsidP="006C78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Ratio relative to the preceding ratio, selected in particular for nations with a strong logistical capacity (</w:t>
            </w:r>
            <w:proofErr w:type="gramStart"/>
            <w:r w:rsidRPr="00EB6BBC">
              <w:rPr>
                <w:rFonts w:ascii="Times New Roman" w:hAnsi="Times New Roman" w:cs="Times New Roman"/>
              </w:rPr>
              <w:t>e.g.</w:t>
            </w:r>
            <w:proofErr w:type="gramEnd"/>
            <w:r w:rsidRPr="00EB6BBC">
              <w:rPr>
                <w:rFonts w:ascii="Times New Roman" w:hAnsi="Times New Roman" w:cs="Times New Roman"/>
              </w:rPr>
              <w:t xml:space="preserve"> Poland). Although passenger automobiles there continue to depend more and more on gasoline and diesel, the usage of electrification, biofuels, and hydrogen, which are plainly more economically sensible, is on the rise here as well.</w:t>
            </w:r>
          </w:p>
        </w:tc>
      </w:tr>
      <w:tr w:rsidR="00A86F9C" w:rsidRPr="00EB6BBC" w14:paraId="479EC684" w14:textId="77777777" w:rsidTr="00B9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vAlign w:val="center"/>
          </w:tcPr>
          <w:p w14:paraId="783FF7FC" w14:textId="121C6428" w:rsidR="00A86F9C" w:rsidRPr="00EB6BBC" w:rsidRDefault="00A86F9C" w:rsidP="00D6203E">
            <w:pPr>
              <w:jc w:val="center"/>
              <w:rPr>
                <w:rFonts w:ascii="Times New Roman" w:hAnsi="Times New Roman" w:cs="Times New Roman"/>
              </w:rPr>
            </w:pPr>
            <w:r w:rsidRPr="00EB6BBC">
              <w:rPr>
                <w:rFonts w:ascii="Times New Roman" w:hAnsi="Times New Roman" w:cs="Times New Roman"/>
              </w:rPr>
              <w:t>Petrol prices</w:t>
            </w:r>
          </w:p>
        </w:tc>
        <w:tc>
          <w:tcPr>
            <w:tcW w:w="2152" w:type="dxa"/>
            <w:vAlign w:val="center"/>
          </w:tcPr>
          <w:p w14:paraId="0B24121C" w14:textId="205F164D" w:rsidR="00A86F9C" w:rsidRPr="00EB6BBC" w:rsidRDefault="00A86F9C" w:rsidP="00D620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€/l</w:t>
            </w:r>
          </w:p>
        </w:tc>
        <w:tc>
          <w:tcPr>
            <w:tcW w:w="2627" w:type="dxa"/>
            <w:vAlign w:val="center"/>
          </w:tcPr>
          <w:p w14:paraId="4919681F" w14:textId="368799CD" w:rsidR="00A86F9C" w:rsidRPr="00EB6BBC" w:rsidRDefault="00A86F9C" w:rsidP="00D620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6BBC">
              <w:rPr>
                <w:rFonts w:ascii="Times New Roman" w:hAnsi="Times New Roman" w:cs="Times New Roman"/>
                <w:b/>
                <w:bCs/>
                <w:sz w:val="28"/>
                <w:szCs w:val="28"/>
              </w:rPr>
              <w:t>+</w:t>
            </w:r>
          </w:p>
        </w:tc>
        <w:tc>
          <w:tcPr>
            <w:tcW w:w="2747" w:type="dxa"/>
          </w:tcPr>
          <w:p w14:paraId="6EBC448D" w14:textId="65B02FB0" w:rsidR="00A86F9C" w:rsidRPr="00EB6BBC" w:rsidRDefault="00B92A0B" w:rsidP="006C78A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6BBC">
              <w:rPr>
                <w:rFonts w:ascii="Times New Roman" w:hAnsi="Times New Roman" w:cs="Times New Roman"/>
              </w:rPr>
              <w:t>The price of gasoline has a substantial effect on vehicle use. Increases in gasoline costs have an immediate effect on customers, who choose for more fuel-efficient cars and plan their travels in advance. Conversely, favourable gasoline prices give an incentive to retain the status quo.</w:t>
            </w:r>
            <w:r w:rsidR="002B0010">
              <w:rPr>
                <w:rFonts w:ascii="Times New Roman" w:hAnsi="Times New Roman" w:cs="Times New Roman"/>
              </w:rPr>
              <w:t xml:space="preserve"> Based on </w:t>
            </w:r>
            <w:r w:rsidR="002B0010">
              <w:rPr>
                <w:rFonts w:ascii="Times New Roman" w:hAnsi="Times New Roman" w:cs="Times New Roman"/>
              </w:rPr>
              <w:fldChar w:fldCharType="begin"/>
            </w:r>
            <w:r w:rsidR="002B0010">
              <w:rPr>
                <w:rFonts w:ascii="Times New Roman" w:hAnsi="Times New Roman" w:cs="Times New Roman"/>
              </w:rPr>
              <w:instrText xml:space="preserve"> ADDIN ZOTERO_ITEM CSL_CITATION {"citationID":"mTk0sIkQ","properties":{"formattedCitation":"(Frondel &amp; Schubert, 2021)","plainCitation":"(Frondel &amp; Schubert, 2021)","noteIndex":0},"citationItems":[{"id":845,"uris":["http://zotero.org/users/9823736/items/DVNPAE7F"],"itemData":{"id":845,"type":"article-journal","abstract":"In 2021, Germany launched a national emissions trading system (ETS) in its road transport and housing sectors that increases the cost burden of consumers of fossil fuels, the major source of carbon dioxide (CO2) emissions. A promising approach to secure public acceptance for such a carbon pricing would be to entirely reallocate the resulting “carbon” revenues to consumers. This article discusses three alternatives that were discussed in the political arena prior to the introduction of the national carbon pricing: a) a per-capita reallocation to private households, b) the reduction of electricity prices by, e.g., decreasing the electricity tax, as well as c) targeted financial aid for vulnerable consumers, such as increasing housing benefits. To estimate both the revenues originating from carbon pricing and the resulting emission savings, we employ a partial equilibrium approach that is based on price elasticity estimates on individual fossil fuel consumption from the empirical literature. Most effective with respect to alleviating the burden of poor households would be increasing housing benefits. While this measure would not require large monetary resources, we argue that the remaining revenues should be preferably employed to reduce Germany's electricity tax, which becomes more and more obsolete given the steadily increasing amount of electricity generated by renewable energy technologies.","container-title":"Energy Policy","DOI":"10.1016/j.enpol.2021.112471","ISSN":"0301-4215","journalAbbreviation":"Energy Policy","language":"en","page":"112471","source":"ScienceDirect","title":"Carbon pricing in Germany's road transport and housing sector: Options for reimbursing carbon revenues","title-short":"Carbon pricing in Germany's road transport and housing sector","volume":"157","author":[{"family":"Frondel","given":"Manuel"},{"family":"Schubert","given":"Stefanie A."}],"issued":{"date-parts":[["2021",10,1]]}}}],"schema":"https://github.com/citation-style-language/schema/raw/master/csl-citation.json"} </w:instrText>
            </w:r>
            <w:r w:rsidR="002B0010">
              <w:rPr>
                <w:rFonts w:ascii="Times New Roman" w:hAnsi="Times New Roman" w:cs="Times New Roman"/>
              </w:rPr>
              <w:fldChar w:fldCharType="separate"/>
            </w:r>
            <w:r w:rsidR="002B0010" w:rsidRPr="002B0010">
              <w:rPr>
                <w:rFonts w:ascii="Times New Roman" w:hAnsi="Times New Roman" w:cs="Times New Roman"/>
              </w:rPr>
              <w:t>(Frondel &amp; Schubert, 2021)</w:t>
            </w:r>
            <w:r w:rsidR="002B0010">
              <w:rPr>
                <w:rFonts w:ascii="Times New Roman" w:hAnsi="Times New Roman" w:cs="Times New Roman"/>
              </w:rPr>
              <w:fldChar w:fldCharType="end"/>
            </w:r>
            <w:r w:rsidR="005563C8">
              <w:rPr>
                <w:rFonts w:ascii="Times New Roman" w:hAnsi="Times New Roman" w:cs="Times New Roman"/>
              </w:rPr>
              <w:t>.</w:t>
            </w:r>
          </w:p>
        </w:tc>
      </w:tr>
      <w:tr w:rsidR="000F299A" w:rsidRPr="00EB6BBC" w14:paraId="467BF921" w14:textId="77777777" w:rsidTr="00B92A0B">
        <w:tc>
          <w:tcPr>
            <w:cnfStyle w:val="001000000000" w:firstRow="0" w:lastRow="0" w:firstColumn="1" w:lastColumn="0" w:oddVBand="0" w:evenVBand="0" w:oddHBand="0" w:evenHBand="0" w:firstRowFirstColumn="0" w:firstRowLastColumn="0" w:lastRowFirstColumn="0" w:lastRowLastColumn="0"/>
            <w:tcW w:w="1536" w:type="dxa"/>
            <w:vAlign w:val="center"/>
          </w:tcPr>
          <w:p w14:paraId="5DD480F5" w14:textId="3DA314D4" w:rsidR="000F299A" w:rsidRPr="00EB6BBC" w:rsidRDefault="000F299A" w:rsidP="00D6203E">
            <w:pPr>
              <w:jc w:val="center"/>
              <w:rPr>
                <w:rFonts w:ascii="Times New Roman" w:hAnsi="Times New Roman" w:cs="Times New Roman"/>
              </w:rPr>
            </w:pPr>
            <w:r w:rsidRPr="000F299A">
              <w:rPr>
                <w:rFonts w:ascii="Times New Roman" w:hAnsi="Times New Roman" w:cs="Times New Roman"/>
              </w:rPr>
              <w:t>Number of hydrogen cars</w:t>
            </w:r>
          </w:p>
        </w:tc>
        <w:tc>
          <w:tcPr>
            <w:tcW w:w="2152" w:type="dxa"/>
            <w:vAlign w:val="center"/>
          </w:tcPr>
          <w:p w14:paraId="3C640E5F" w14:textId="14424EDF" w:rsidR="000F299A" w:rsidRPr="00EB6BBC" w:rsidRDefault="000F299A" w:rsidP="00D620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F299A">
              <w:rPr>
                <w:rFonts w:ascii="Times New Roman" w:hAnsi="Times New Roman" w:cs="Times New Roman"/>
              </w:rPr>
              <w:t>Per 1 million inhabitants</w:t>
            </w:r>
          </w:p>
        </w:tc>
        <w:tc>
          <w:tcPr>
            <w:tcW w:w="2627" w:type="dxa"/>
            <w:vAlign w:val="center"/>
          </w:tcPr>
          <w:p w14:paraId="65882468" w14:textId="3462CE7A" w:rsidR="000F299A" w:rsidRPr="00EB6BBC" w:rsidRDefault="000F299A" w:rsidP="00D620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b/>
                <w:bCs/>
                <w:sz w:val="28"/>
                <w:szCs w:val="28"/>
              </w:rPr>
              <w:t>+</w:t>
            </w:r>
          </w:p>
        </w:tc>
        <w:tc>
          <w:tcPr>
            <w:tcW w:w="2747" w:type="dxa"/>
          </w:tcPr>
          <w:p w14:paraId="32E99814" w14:textId="33C40F1A" w:rsidR="000F299A" w:rsidRPr="00EB6BBC" w:rsidRDefault="000F299A" w:rsidP="006C78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F299A">
              <w:rPr>
                <w:rFonts w:ascii="Times New Roman" w:hAnsi="Times New Roman" w:cs="Times New Roman"/>
              </w:rPr>
              <w:t>The outcome variable and factor to be researched, which was identified as the determining factor for the success of hydrogen technology in personal transportation.</w:t>
            </w:r>
          </w:p>
        </w:tc>
      </w:tr>
    </w:tbl>
    <w:p w14:paraId="0FED1B69" w14:textId="77777777" w:rsidR="006C78A4" w:rsidRDefault="0075784D" w:rsidP="006C78A4">
      <w:pPr>
        <w:pStyle w:val="Beschriftung"/>
        <w:jc w:val="both"/>
        <w:rPr>
          <w:rFonts w:ascii="Times New Roman" w:hAnsi="Times New Roman" w:cs="Times New Roman"/>
        </w:rPr>
        <w:sectPr w:rsidR="006C78A4" w:rsidSect="002968A0">
          <w:pgSz w:w="11906" w:h="16838"/>
          <w:pgMar w:top="1417" w:right="1417" w:bottom="1134" w:left="1417" w:header="709" w:footer="709" w:gutter="0"/>
          <w:cols w:space="708"/>
          <w:docGrid w:linePitch="360"/>
        </w:sectPr>
      </w:pPr>
      <w:r w:rsidRPr="00EB6BBC">
        <w:rPr>
          <w:rFonts w:ascii="Times New Roman" w:hAnsi="Times New Roman" w:cs="Times New Roman"/>
        </w:rPr>
        <w:t xml:space="preserve">Figure </w:t>
      </w:r>
      <w:r w:rsidRPr="00EB6BBC">
        <w:rPr>
          <w:rFonts w:ascii="Times New Roman" w:hAnsi="Times New Roman" w:cs="Times New Roman"/>
        </w:rPr>
        <w:fldChar w:fldCharType="begin"/>
      </w:r>
      <w:r w:rsidRPr="00EB6BBC">
        <w:rPr>
          <w:rFonts w:ascii="Times New Roman" w:hAnsi="Times New Roman" w:cs="Times New Roman"/>
        </w:rPr>
        <w:instrText xml:space="preserve"> SEQ Figure \* ARABIC </w:instrText>
      </w:r>
      <w:r w:rsidRPr="00EB6BBC">
        <w:rPr>
          <w:rFonts w:ascii="Times New Roman" w:hAnsi="Times New Roman" w:cs="Times New Roman"/>
        </w:rPr>
        <w:fldChar w:fldCharType="separate"/>
      </w:r>
      <w:r w:rsidR="003A546C" w:rsidRPr="00EB6BBC">
        <w:rPr>
          <w:rFonts w:ascii="Times New Roman" w:hAnsi="Times New Roman" w:cs="Times New Roman"/>
          <w:noProof/>
        </w:rPr>
        <w:t>1</w:t>
      </w:r>
      <w:r w:rsidRPr="00EB6BBC">
        <w:rPr>
          <w:rFonts w:ascii="Times New Roman" w:hAnsi="Times New Roman" w:cs="Times New Roman"/>
        </w:rPr>
        <w:fldChar w:fldCharType="end"/>
      </w:r>
      <w:r w:rsidRPr="00EB6BBC">
        <w:rPr>
          <w:rFonts w:ascii="Times New Roman" w:hAnsi="Times New Roman" w:cs="Times New Roman"/>
        </w:rPr>
        <w:t>. Variables and expected effects</w:t>
      </w:r>
    </w:p>
    <w:p w14:paraId="1007752F" w14:textId="14DCF1F4" w:rsidR="002E434A" w:rsidRDefault="002E434A" w:rsidP="00D6203E">
      <w:pPr>
        <w:pStyle w:val="berschrift1"/>
        <w:jc w:val="both"/>
        <w:rPr>
          <w:rFonts w:ascii="Times New Roman" w:hAnsi="Times New Roman" w:cs="Times New Roman"/>
          <w:b/>
          <w:bCs/>
        </w:rPr>
      </w:pPr>
      <w:r w:rsidRPr="00EB6BBC">
        <w:rPr>
          <w:rFonts w:ascii="Times New Roman" w:hAnsi="Times New Roman" w:cs="Times New Roman"/>
          <w:b/>
          <w:bCs/>
        </w:rPr>
        <w:lastRenderedPageBreak/>
        <w:t>Methodology</w:t>
      </w:r>
    </w:p>
    <w:p w14:paraId="30BC3A17" w14:textId="762A0BF8" w:rsidR="004F1732" w:rsidRPr="004F1732" w:rsidRDefault="004F1732" w:rsidP="00D6203E">
      <w:pPr>
        <w:jc w:val="both"/>
      </w:pPr>
    </w:p>
    <w:p w14:paraId="47350285" w14:textId="725591B8" w:rsidR="0017237B" w:rsidRDefault="00EA35DC" w:rsidP="006C78A4">
      <w:pPr>
        <w:jc w:val="both"/>
        <w:rPr>
          <w:rFonts w:ascii="Times New Roman" w:hAnsi="Times New Roman" w:cs="Times New Roman"/>
        </w:rPr>
      </w:pPr>
      <w:r w:rsidRPr="00EB6BBC">
        <w:rPr>
          <w:rFonts w:ascii="Times New Roman" w:hAnsi="Times New Roman" w:cs="Times New Roman"/>
        </w:rPr>
        <w:t xml:space="preserve">This paper follows the structure of previous COCO model publications </w:t>
      </w:r>
      <w:r w:rsidR="00FF0E09" w:rsidRPr="00EB6BBC">
        <w:rPr>
          <w:rFonts w:ascii="Times New Roman" w:hAnsi="Times New Roman" w:cs="Times New Roman"/>
        </w:rPr>
        <w:fldChar w:fldCharType="begin"/>
      </w:r>
      <w:r w:rsidR="004221F3" w:rsidRPr="00EB6BBC">
        <w:rPr>
          <w:rFonts w:ascii="Times New Roman" w:hAnsi="Times New Roman" w:cs="Times New Roman"/>
        </w:rPr>
        <w:instrText xml:space="preserve"> ADDIN ZOTERO_ITEM CSL_CITATION {"citationID":"e3aD5yom","properties":{"formattedCitation":"(Pitlik et al., 2020; Pitlik &amp; Csizmadia, 2021)","plainCitation":"(Pitlik et al., 2020; Pitlik &amp; Csizmadia, 2021)","noteIndex":0},"citationItems":[{"id":811,"uris":["http://zotero.org/users/9823736/items/LA63BEYC"],"itemData":{"id":811,"type":"article-journal","abstract":"The Wikipedia entries (especially highlighted years) about Adidas in form of the common magic of words can be involved into a Turing-test like validation procedure where the emotional impacts to the brand value of Adidas can be derived based on Google-Trends time-series incl. a lot of comparable enterprises as keywords. This derivation is a kind of big-data-driven, automated AI-process from point of view of the methodical aspects and it should be called as analysis of the golden age (concerning the history of the enterprises) where each time-series will be interpreted based on the marketing rule: the-more-clicks-for-other-enterprises (phenomena) </w:instrText>
      </w:r>
      <w:r w:rsidR="004221F3" w:rsidRPr="00EB6BBC">
        <w:rPr>
          <w:rFonts w:ascii="Times New Roman" w:hAnsi="Times New Roman" w:cs="Times New Roman"/>
        </w:rPr>
        <w:instrText xml:space="preserve">→ the more-clicks-for-thefocused-enterprise (phenomenon).","language":"hu","source":"Zotero","title":"Az ADIDAS-történet robotszemmel – avagy a validáció új aspektusai a hasonlóságelemzésben","URL":"https://miau.my-x.hu/miau/273/adidas_story.pdf","author":[{"family":"Pitlik","given":"László"},{"family":"Rácz","given":"Zsolt"},{"family":"Learning Innovation Kft","given":""},{"family":"MY-X-team","given":""}],"issued":{"date-parts":[["2020"]]}}},{"id":813,"uris":["http://zotero.org/users/9823736/items/9R4UMT34"],"itemData":{"id":813,"type":"article-journal","abstract":"As EU citizens, all nationals of the Member States of the European Union have the right to move freely within the European Union and to enter and reside in any EU Member State. This fundamental article of the EU treaty opens numerous opportunities to EU citizens willing to move and settle abroad. European countries are very different due to not only cultural and historical reasons but also due to very heterogeneous economic situations occurred in the European continent before the creation of the European Union. In this publication I am defining an operational approach, based on statistical data, to objectively identify which country in Europe would offer the better quality of life. A secondary goal of this work is also to confirm, that most of the estimations and hypothesis around the correlation of some quality of life factors could actually be proven wrong, statistically speaking. Finally I pose the question of whether a non EU country might actually have a comparable rating in the analyzed dimensions and thus potentially be the next EU member. The 27 European countries have been represented trough a vector of 8 dimensions. Each dimension represents a parameter that, generally speaking, is able to affect the quality of life of a country population. The COCO tool and MS Excel have been used to perform a component-based object comparison for objectivity and identify the best country to settle in. The analysis described above has showed that Estonia is actually the best country to live in EU and this does not fit with the naive estimation provided. Additionally, the ranking output from the COCO tool pointed out that some of the non-EU countries would be able to perform good enough to rank in the standards of the EU members. There are a few aspects of the analysis that could be explore in depth or monitor some other indicators like governance, recreation or public services and next time this might be interesting to study and requires further analysis.","language":"de","source":"Zotero","title":"Wo lebt sich am besten in Europa?","URL":"https://miau.my-x.hu/miau/276/kje/eu/Szilvia%20Csizmadia%20KJO0IX%20Ranking%20EU.pdf","author":[{"family":"Pitlik","given":"László"},{"family":"Csizmadia","given":"Szilvia"}],"issued":{"date-parts":[["2021"]]}}}],"schema":"https://github.com/citation-style-language/schema/raw/master/csl-citation.json"} </w:instrText>
      </w:r>
      <w:r w:rsidR="00FF0E09" w:rsidRPr="00EB6BBC">
        <w:rPr>
          <w:rFonts w:ascii="Times New Roman" w:hAnsi="Times New Roman" w:cs="Times New Roman"/>
        </w:rPr>
        <w:fldChar w:fldCharType="separate"/>
      </w:r>
      <w:r w:rsidR="004221F3" w:rsidRPr="00EB6BBC">
        <w:rPr>
          <w:rFonts w:ascii="Times New Roman" w:hAnsi="Times New Roman" w:cs="Times New Roman"/>
        </w:rPr>
        <w:t>(Pitlik et al., 2020; Pitlik &amp; Csizmadia, 2021)</w:t>
      </w:r>
      <w:r w:rsidR="00FF0E09" w:rsidRPr="00EB6BBC">
        <w:rPr>
          <w:rFonts w:ascii="Times New Roman" w:hAnsi="Times New Roman" w:cs="Times New Roman"/>
        </w:rPr>
        <w:fldChar w:fldCharType="end"/>
      </w:r>
      <w:r w:rsidR="00BB46D2" w:rsidRPr="00EB6BBC">
        <w:rPr>
          <w:rFonts w:ascii="Times New Roman" w:hAnsi="Times New Roman" w:cs="Times New Roman"/>
        </w:rPr>
        <w:t>, the underlying methodological aim is to the different data should allow us to recognise a certain trend.</w:t>
      </w:r>
      <w:r w:rsidR="0017237B" w:rsidRPr="00EB6BBC">
        <w:rPr>
          <w:rFonts w:ascii="Times New Roman" w:hAnsi="Times New Roman" w:cs="Times New Roman"/>
        </w:rPr>
        <w:t xml:space="preserve"> </w:t>
      </w:r>
      <w:r w:rsidR="00E0163D" w:rsidRPr="00EB6BBC">
        <w:rPr>
          <w:rFonts w:ascii="Times New Roman" w:hAnsi="Times New Roman" w:cs="Times New Roman"/>
        </w:rPr>
        <w:t>During</w:t>
      </w:r>
      <w:r w:rsidR="0017237B" w:rsidRPr="00EB6BBC">
        <w:rPr>
          <w:rFonts w:ascii="Times New Roman" w:hAnsi="Times New Roman" w:cs="Times New Roman"/>
        </w:rPr>
        <w:t xml:space="preserve"> the investigation, attempts were undertaken to locate comparable data from the same or nearby time periods. In this instance, numbers from 2021 were chosen since this was </w:t>
      </w:r>
      <w:r w:rsidR="00E0163D" w:rsidRPr="00EB6BBC">
        <w:rPr>
          <w:rFonts w:ascii="Times New Roman" w:hAnsi="Times New Roman" w:cs="Times New Roman"/>
        </w:rPr>
        <w:t>offering the most insights regarding developments in the close future</w:t>
      </w:r>
      <w:r w:rsidR="0017237B" w:rsidRPr="00EB6BBC">
        <w:rPr>
          <w:rFonts w:ascii="Times New Roman" w:hAnsi="Times New Roman" w:cs="Times New Roman"/>
        </w:rPr>
        <w:t>. It is crucial to note that the table does not analyse a wide time frame, but rather simply the year 2019.</w:t>
      </w:r>
    </w:p>
    <w:p w14:paraId="521A024C" w14:textId="21D4FCAD" w:rsidR="00624BE9" w:rsidRDefault="007350D4" w:rsidP="006C78A4">
      <w:pPr>
        <w:pStyle w:val="berschrift1"/>
        <w:jc w:val="both"/>
        <w:rPr>
          <w:rFonts w:ascii="Times New Roman" w:hAnsi="Times New Roman" w:cs="Times New Roman"/>
          <w:b/>
          <w:bCs/>
          <w:sz w:val="24"/>
          <w:szCs w:val="24"/>
        </w:rPr>
      </w:pPr>
      <w:r w:rsidRPr="007350D4">
        <w:rPr>
          <w:rFonts w:ascii="Times New Roman" w:hAnsi="Times New Roman" w:cs="Times New Roman"/>
          <w:b/>
          <w:bCs/>
          <w:sz w:val="24"/>
          <w:szCs w:val="24"/>
        </w:rPr>
        <w:t xml:space="preserve">Production Functions via </w:t>
      </w:r>
      <w:proofErr w:type="gramStart"/>
      <w:r w:rsidRPr="007350D4">
        <w:rPr>
          <w:rFonts w:ascii="Times New Roman" w:hAnsi="Times New Roman" w:cs="Times New Roman"/>
          <w:b/>
          <w:bCs/>
          <w:sz w:val="24"/>
          <w:szCs w:val="24"/>
        </w:rPr>
        <w:t>COCO:STD</w:t>
      </w:r>
      <w:proofErr w:type="gramEnd"/>
    </w:p>
    <w:p w14:paraId="02EE2D3A" w14:textId="74AACE42" w:rsidR="006C78A4" w:rsidRPr="006C78A4" w:rsidRDefault="006C78A4" w:rsidP="006C78A4">
      <w:pPr>
        <w:jc w:val="both"/>
      </w:pPr>
    </w:p>
    <w:p w14:paraId="0217EE9D" w14:textId="2B735A14" w:rsidR="008144C3" w:rsidRDefault="0017237B" w:rsidP="006C78A4">
      <w:pPr>
        <w:jc w:val="both"/>
        <w:rPr>
          <w:rFonts w:ascii="Times New Roman" w:hAnsi="Times New Roman" w:cs="Times New Roman"/>
        </w:rPr>
      </w:pPr>
      <w:proofErr w:type="gramStart"/>
      <w:r w:rsidRPr="00EB6BBC">
        <w:rPr>
          <w:rFonts w:ascii="Times New Roman" w:hAnsi="Times New Roman" w:cs="Times New Roman"/>
        </w:rPr>
        <w:t>The majority of</w:t>
      </w:r>
      <w:proofErr w:type="gramEnd"/>
      <w:r w:rsidRPr="00EB6BBC">
        <w:rPr>
          <w:rFonts w:ascii="Times New Roman" w:hAnsi="Times New Roman" w:cs="Times New Roman"/>
        </w:rPr>
        <w:t xml:space="preserve"> the data was acquired from reputable public sources, such as statista.com, a German internet statistics and market research site</w:t>
      </w:r>
      <w:r w:rsidR="00693349" w:rsidRPr="00EB6BBC">
        <w:rPr>
          <w:rFonts w:ascii="Times New Roman" w:hAnsi="Times New Roman" w:cs="Times New Roman"/>
        </w:rPr>
        <w:t xml:space="preserve"> as well as the database of the European commission and the United Nations, respectively</w:t>
      </w:r>
      <w:r w:rsidRPr="00EB6BBC">
        <w:rPr>
          <w:rFonts w:ascii="Times New Roman" w:hAnsi="Times New Roman" w:cs="Times New Roman"/>
        </w:rPr>
        <w:t>.</w:t>
      </w:r>
      <w:r w:rsidR="00042E3F" w:rsidRPr="00EB6BBC">
        <w:rPr>
          <w:rFonts w:ascii="Times New Roman" w:hAnsi="Times New Roman" w:cs="Times New Roman"/>
        </w:rPr>
        <w:t xml:space="preserve"> </w:t>
      </w:r>
      <w:r w:rsidR="006C78A4">
        <w:rPr>
          <w:rFonts w:ascii="Times New Roman" w:hAnsi="Times New Roman" w:cs="Times New Roman"/>
        </w:rPr>
        <w:t xml:space="preserve">Missing data was based on assumptions of previous years. </w:t>
      </w:r>
    </w:p>
    <w:p w14:paraId="2961AF5D" w14:textId="29B871ED" w:rsidR="008144C3" w:rsidRDefault="00A04CAE" w:rsidP="006C78A4">
      <w:pPr>
        <w:jc w:val="both"/>
        <w:rPr>
          <w:rFonts w:ascii="Times New Roman" w:hAnsi="Times New Roman" w:cs="Times New Roman"/>
        </w:rPr>
      </w:pPr>
      <w:r w:rsidRPr="00EB6BBC">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34756BFC" wp14:editId="5F298A11">
                <wp:simplePos x="0" y="0"/>
                <wp:positionH relativeFrom="column">
                  <wp:posOffset>-294640</wp:posOffset>
                </wp:positionH>
                <wp:positionV relativeFrom="paragraph">
                  <wp:posOffset>5782945</wp:posOffset>
                </wp:positionV>
                <wp:extent cx="6746875" cy="266700"/>
                <wp:effectExtent l="0" t="0" r="0" b="0"/>
                <wp:wrapThrough wrapText="bothSides">
                  <wp:wrapPolygon edited="0">
                    <wp:start x="0" y="0"/>
                    <wp:lineTo x="0" y="20057"/>
                    <wp:lineTo x="21529" y="20057"/>
                    <wp:lineTo x="21529" y="0"/>
                    <wp:lineTo x="0" y="0"/>
                  </wp:wrapPolygon>
                </wp:wrapThrough>
                <wp:docPr id="1" name="Textfeld 1"/>
                <wp:cNvGraphicFramePr/>
                <a:graphic xmlns:a="http://schemas.openxmlformats.org/drawingml/2006/main">
                  <a:graphicData uri="http://schemas.microsoft.com/office/word/2010/wordprocessingShape">
                    <wps:wsp>
                      <wps:cNvSpPr txBox="1"/>
                      <wps:spPr>
                        <a:xfrm>
                          <a:off x="0" y="0"/>
                          <a:ext cx="6746875" cy="266700"/>
                        </a:xfrm>
                        <a:prstGeom prst="rect">
                          <a:avLst/>
                        </a:prstGeom>
                        <a:solidFill>
                          <a:prstClr val="white"/>
                        </a:solidFill>
                        <a:ln>
                          <a:noFill/>
                        </a:ln>
                      </wps:spPr>
                      <wps:txbx>
                        <w:txbxContent>
                          <w:p w14:paraId="712BF30B" w14:textId="04C8DD03" w:rsidR="00F63935" w:rsidRPr="00336859" w:rsidRDefault="00F63935" w:rsidP="00F63935">
                            <w:pPr>
                              <w:pStyle w:val="Beschriftung"/>
                              <w:jc w:val="center"/>
                            </w:pPr>
                            <w:r>
                              <w:t xml:space="preserve">Figure </w:t>
                            </w:r>
                            <w:r w:rsidR="00083209">
                              <w:fldChar w:fldCharType="begin"/>
                            </w:r>
                            <w:r w:rsidR="00083209">
                              <w:instrText xml:space="preserve"> SEQ Figure \* ARABIC </w:instrText>
                            </w:r>
                            <w:r w:rsidR="00083209">
                              <w:fldChar w:fldCharType="separate"/>
                            </w:r>
                            <w:r w:rsidR="003A546C">
                              <w:rPr>
                                <w:noProof/>
                              </w:rPr>
                              <w:t>2</w:t>
                            </w:r>
                            <w:r w:rsidR="00083209">
                              <w:rPr>
                                <w:noProof/>
                              </w:rPr>
                              <w:fldChar w:fldCharType="end"/>
                            </w:r>
                            <w:r>
                              <w:t xml:space="preserve">. </w:t>
                            </w:r>
                            <w:r w:rsidRPr="00FD2B25">
                              <w:t>The objects and attributes with the raw data</w:t>
                            </w:r>
                            <w:r w:rsidR="00437A0A">
                              <w:t xml:space="preserve"> (source: </w:t>
                            </w:r>
                            <w:hyperlink r:id="rId14" w:history="1">
                              <w:r w:rsidR="00437A0A" w:rsidRPr="00437A0A">
                                <w:rPr>
                                  <w:rStyle w:val="Hyperlink"/>
                                  <w:rFonts w:ascii="Times New Roman" w:hAnsi="Times New Roman" w:cs="Times New Roman"/>
                                </w:rPr>
                                <w:t>https://miau.my-x.hu/miau/294/hydrogen_market_analyses_2023_abs.xlsx</w:t>
                              </w:r>
                            </w:hyperlink>
                            <w:r w:rsidR="00437A0A">
                              <w:rPr>
                                <w:rFonts w:ascii="Times New Roman" w:hAnsi="Times New Roman" w:cs="Times New Roma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4756BFC" id="_x0000_t202" coordsize="21600,21600" o:spt="202" path="m,l,21600r21600,l21600,xe">
                <v:stroke joinstyle="miter"/>
                <v:path gradientshapeok="t" o:connecttype="rect"/>
              </v:shapetype>
              <v:shape id="Textfeld 1" o:spid="_x0000_s1026" type="#_x0000_t202" style="position:absolute;left:0;text-align:left;margin-left:-23.2pt;margin-top:455.35pt;width:531.2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" stroked="f">
                <v:textbox style="mso-fit-shape-to-text:t" inset="0,0,0,0">
                  <w:txbxContent>
                    <w:p w14:paraId="712BF30B" w14:textId="04C8DD03" w:rsidR="00F63935" w:rsidRPr="00336859" w:rsidRDefault="00F63935" w:rsidP="00F63935">
                      <w:pPr>
                        <w:pStyle w:val="Beschriftung"/>
                        <w:jc w:val="center"/>
                      </w:pPr>
                      <w:r>
                        <w:t xml:space="preserve">Figure </w:t>
                      </w:r>
                      <w:r w:rsidR="00083209">
                        <w:fldChar w:fldCharType="begin"/>
                      </w:r>
                      <w:r w:rsidR="00083209">
                        <w:instrText xml:space="preserve"> SEQ Figure \* ARABIC </w:instrText>
                      </w:r>
                      <w:r w:rsidR="00083209">
                        <w:fldChar w:fldCharType="separate"/>
                      </w:r>
                      <w:r w:rsidR="003A546C">
                        <w:rPr>
                          <w:noProof/>
                        </w:rPr>
                        <w:t>2</w:t>
                      </w:r>
                      <w:r w:rsidR="00083209">
                        <w:rPr>
                          <w:noProof/>
                        </w:rPr>
                        <w:fldChar w:fldCharType="end"/>
                      </w:r>
                      <w:r>
                        <w:t xml:space="preserve">. </w:t>
                      </w:r>
                      <w:r w:rsidRPr="00FD2B25">
                        <w:t>The objects and attributes with the raw data</w:t>
                      </w:r>
                      <w:r w:rsidR="00437A0A">
                        <w:t xml:space="preserve"> (source: </w:t>
                      </w:r>
                      <w:hyperlink r:id="rId15" w:history="1">
                        <w:r w:rsidR="00437A0A" w:rsidRPr="00437A0A">
                          <w:rPr>
                            <w:rStyle w:val="Hyperlink"/>
                            <w:rFonts w:ascii="Times New Roman" w:hAnsi="Times New Roman" w:cs="Times New Roman"/>
                          </w:rPr>
                          <w:t>https://miau.my-x.hu/miau/294/hydrogen_market_analyses_2023_abs.xlsx</w:t>
                        </w:r>
                      </w:hyperlink>
                      <w:r w:rsidR="00437A0A">
                        <w:rPr>
                          <w:rFonts w:ascii="Times New Roman" w:hAnsi="Times New Roman" w:cs="Times New Roman"/>
                        </w:rPr>
                        <w:t>)</w:t>
                      </w:r>
                    </w:p>
                  </w:txbxContent>
                </v:textbox>
                <w10:wrap type="through"/>
              </v:shape>
            </w:pict>
          </mc:Fallback>
        </mc:AlternateContent>
      </w:r>
      <w:r w:rsidR="00907BDA" w:rsidRPr="00EB6BBC">
        <w:rPr>
          <w:rFonts w:ascii="Times New Roman" w:hAnsi="Times New Roman" w:cs="Times New Roman"/>
        </w:rPr>
        <w:t xml:space="preserve">In the first phase, the so-called raw numbers must be contextualised so that disparities across </w:t>
      </w:r>
      <w:r w:rsidR="003C7D50">
        <w:rPr>
          <w:rFonts w:ascii="Times New Roman" w:hAnsi="Times New Roman" w:cs="Times New Roman"/>
        </w:rPr>
        <w:t>countries</w:t>
      </w:r>
      <w:r w:rsidR="003C7D50" w:rsidRPr="00EB6BBC">
        <w:rPr>
          <w:rFonts w:ascii="Times New Roman" w:hAnsi="Times New Roman" w:cs="Times New Roman"/>
        </w:rPr>
        <w:t xml:space="preserve"> </w:t>
      </w:r>
      <w:r w:rsidR="00907BDA" w:rsidRPr="00EB6BBC">
        <w:rPr>
          <w:rFonts w:ascii="Times New Roman" w:hAnsi="Times New Roman" w:cs="Times New Roman"/>
        </w:rPr>
        <w:t>of various sizes may be avoided. Thus, these numbers were always derived based on certain demographic metrics, currencies, or percentage shares</w:t>
      </w:r>
      <w:r w:rsidR="00F63935" w:rsidRPr="00EB6BBC">
        <w:rPr>
          <w:rFonts w:ascii="Times New Roman" w:hAnsi="Times New Roman" w:cs="Times New Roman"/>
        </w:rPr>
        <w:t>, see Figure 2</w:t>
      </w:r>
      <w:r w:rsidR="00907BDA" w:rsidRPr="00EB6BBC">
        <w:rPr>
          <w:rFonts w:ascii="Times New Roman" w:hAnsi="Times New Roman" w:cs="Times New Roman"/>
        </w:rPr>
        <w:t>. Since relativized statistics do not demonstrate an adequate degree of "homogeneity," the data for each country has been rated. In this manner, discrepancies are concealed, and the nations are ranked.</w:t>
      </w:r>
      <w:r w:rsidR="003C7D50">
        <w:rPr>
          <w:rFonts w:ascii="Times New Roman" w:hAnsi="Times New Roman" w:cs="Times New Roman"/>
        </w:rPr>
        <w:t xml:space="preserve"> Figure 2 demonstrates a </w:t>
      </w:r>
      <w:proofErr w:type="spellStart"/>
      <w:r w:rsidR="003C7D50">
        <w:rPr>
          <w:rFonts w:ascii="Times New Roman" w:hAnsi="Times New Roman" w:cs="Times New Roman"/>
        </w:rPr>
        <w:t>quasi pattern</w:t>
      </w:r>
      <w:proofErr w:type="spellEnd"/>
      <w:r w:rsidR="003C7D50">
        <w:rPr>
          <w:rFonts w:ascii="Times New Roman" w:hAnsi="Times New Roman" w:cs="Times New Roman"/>
        </w:rPr>
        <w:t xml:space="preserve">-free visual impression (for human eyes). The derivation of production functions </w:t>
      </w:r>
      <w:r w:rsidR="00ED4762">
        <w:rPr>
          <w:rFonts w:ascii="Times New Roman" w:hAnsi="Times New Roman" w:cs="Times New Roman"/>
        </w:rPr>
        <w:t>must</w:t>
      </w:r>
      <w:r w:rsidR="003C7D50">
        <w:rPr>
          <w:rFonts w:ascii="Times New Roman" w:hAnsi="Times New Roman" w:cs="Times New Roman"/>
        </w:rPr>
        <w:t xml:space="preserve"> increase the correlation compared to the correlation of the raw independent variables and the dependent one.</w:t>
      </w:r>
    </w:p>
    <w:p w14:paraId="2F7B9B4A" w14:textId="2DCDE1D4" w:rsidR="00A04CAE" w:rsidRPr="00404398" w:rsidRDefault="008F6000" w:rsidP="006C78A4">
      <w:pPr>
        <w:jc w:val="both"/>
        <w:rPr>
          <w:rFonts w:ascii="Times New Roman" w:hAnsi="Times New Roman" w:cs="Times New Roman"/>
        </w:rPr>
      </w:pPr>
      <w:r w:rsidRPr="008F6000">
        <w:drawing>
          <wp:inline distT="0" distB="0" distL="0" distR="0" wp14:anchorId="457FB2A3" wp14:editId="08EA46A5">
            <wp:extent cx="5760720" cy="433324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333240"/>
                    </a:xfrm>
                    <a:prstGeom prst="rect">
                      <a:avLst/>
                    </a:prstGeom>
                    <a:noFill/>
                    <a:ln>
                      <a:noFill/>
                    </a:ln>
                  </pic:spPr>
                </pic:pic>
              </a:graphicData>
            </a:graphic>
          </wp:inline>
        </w:drawing>
      </w:r>
    </w:p>
    <w:p w14:paraId="1EADE2C9" w14:textId="7E9B8270" w:rsidR="002A3AC1" w:rsidRPr="00EB6BBC" w:rsidRDefault="00ED4762" w:rsidP="006C78A4">
      <w:pPr>
        <w:jc w:val="both"/>
        <w:rPr>
          <w:rFonts w:ascii="Times New Roman" w:hAnsi="Times New Roman" w:cs="Times New Roman"/>
        </w:rPr>
      </w:pPr>
      <w:r w:rsidRPr="00ED4762">
        <w:lastRenderedPageBreak/>
        <w:drawing>
          <wp:inline distT="0" distB="0" distL="0" distR="0" wp14:anchorId="39109102" wp14:editId="15F4B1F4">
            <wp:extent cx="5760720" cy="34734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3473450"/>
                    </a:xfrm>
                    <a:prstGeom prst="rect">
                      <a:avLst/>
                    </a:prstGeom>
                    <a:noFill/>
                    <a:ln>
                      <a:noFill/>
                    </a:ln>
                  </pic:spPr>
                </pic:pic>
              </a:graphicData>
            </a:graphic>
          </wp:inline>
        </w:drawing>
      </w:r>
    </w:p>
    <w:p w14:paraId="26803E8F" w14:textId="4F9206C1" w:rsidR="004D14E7" w:rsidRPr="00EB6BBC" w:rsidRDefault="004D14E7" w:rsidP="004D14E7">
      <w:pPr>
        <w:pStyle w:val="Beschriftung"/>
        <w:jc w:val="center"/>
        <w:rPr>
          <w:rFonts w:ascii="Times New Roman" w:hAnsi="Times New Roman" w:cs="Times New Roman"/>
        </w:rPr>
      </w:pPr>
      <w:r w:rsidRPr="00CC2863">
        <w:rPr>
          <w:rFonts w:ascii="Times New Roman" w:hAnsi="Times New Roman" w:cs="Times New Roman"/>
        </w:rPr>
        <w:t xml:space="preserve">Figure </w:t>
      </w:r>
      <w:r w:rsidRPr="00EB6BBC">
        <w:rPr>
          <w:rFonts w:ascii="Times New Roman" w:hAnsi="Times New Roman" w:cs="Times New Roman"/>
        </w:rPr>
        <w:fldChar w:fldCharType="begin"/>
      </w:r>
      <w:r w:rsidRPr="00CC2863">
        <w:rPr>
          <w:rFonts w:ascii="Times New Roman" w:hAnsi="Times New Roman" w:cs="Times New Roman"/>
        </w:rPr>
        <w:instrText xml:space="preserve"> SEQ Figure \* ARABIC </w:instrText>
      </w:r>
      <w:r w:rsidRPr="00EB6BBC">
        <w:rPr>
          <w:rFonts w:ascii="Times New Roman" w:hAnsi="Times New Roman" w:cs="Times New Roman"/>
        </w:rPr>
        <w:fldChar w:fldCharType="separate"/>
      </w:r>
      <w:r w:rsidRPr="00CC2863">
        <w:rPr>
          <w:rFonts w:ascii="Times New Roman" w:hAnsi="Times New Roman" w:cs="Times New Roman"/>
          <w:noProof/>
        </w:rPr>
        <w:t>3</w:t>
      </w:r>
      <w:r w:rsidRPr="00EB6BBC">
        <w:rPr>
          <w:rFonts w:ascii="Times New Roman" w:hAnsi="Times New Roman" w:cs="Times New Roman"/>
        </w:rPr>
        <w:fldChar w:fldCharType="end"/>
      </w:r>
      <w:r w:rsidRPr="00CC2863">
        <w:rPr>
          <w:rFonts w:ascii="Times New Roman" w:hAnsi="Times New Roman" w:cs="Times New Roman"/>
        </w:rPr>
        <w:t xml:space="preserve">. </w:t>
      </w:r>
      <w:r w:rsidRPr="00EB6BBC">
        <w:rPr>
          <w:rFonts w:ascii="Times New Roman" w:hAnsi="Times New Roman" w:cs="Times New Roman"/>
        </w:rPr>
        <w:t xml:space="preserve">Ranking and </w:t>
      </w:r>
      <w:r w:rsidR="005363BB">
        <w:rPr>
          <w:rFonts w:ascii="Times New Roman" w:hAnsi="Times New Roman" w:cs="Times New Roman"/>
        </w:rPr>
        <w:t>correlation</w:t>
      </w:r>
      <w:r w:rsidRPr="00EB6BBC">
        <w:rPr>
          <w:rFonts w:ascii="Times New Roman" w:hAnsi="Times New Roman" w:cs="Times New Roman"/>
        </w:rPr>
        <w:t xml:space="preserve"> solution</w:t>
      </w:r>
      <w:r w:rsidR="005363BB">
        <w:rPr>
          <w:rFonts w:ascii="Times New Roman" w:hAnsi="Times New Roman" w:cs="Times New Roman"/>
        </w:rPr>
        <w:br/>
      </w:r>
      <w:r>
        <w:rPr>
          <w:rFonts w:ascii="Times New Roman" w:hAnsi="Times New Roman" w:cs="Times New Roman"/>
        </w:rPr>
        <w:t xml:space="preserve"> (source: </w:t>
      </w:r>
      <w:hyperlink r:id="rId18" w:history="1">
        <w:r w:rsidRPr="004F1732">
          <w:rPr>
            <w:rStyle w:val="Hyperlink"/>
            <w:rFonts w:ascii="Times New Roman" w:hAnsi="Times New Roman" w:cs="Times New Roman"/>
          </w:rPr>
          <w:t>https://miau.my-x.hu/miau/294/hydrogen_market_analyses_2023_abs.xlsx</w:t>
        </w:r>
      </w:hyperlink>
      <w:r>
        <w:rPr>
          <w:rStyle w:val="Hyperlink"/>
          <w:rFonts w:ascii="Times New Roman" w:hAnsi="Times New Roman" w:cs="Times New Roman"/>
        </w:rPr>
        <w:t>)</w:t>
      </w:r>
    </w:p>
    <w:p w14:paraId="07528C5F" w14:textId="29AB146A" w:rsidR="007D5A7C" w:rsidRDefault="006C78A4" w:rsidP="006C78A4">
      <w:pPr>
        <w:pStyle w:val="berschrift1"/>
        <w:jc w:val="both"/>
        <w:rPr>
          <w:rFonts w:ascii="Times New Roman" w:hAnsi="Times New Roman" w:cs="Times New Roman"/>
          <w:b/>
          <w:bCs/>
          <w:sz w:val="24"/>
          <w:szCs w:val="24"/>
        </w:rPr>
      </w:pPr>
      <w:r w:rsidRPr="006C78A4">
        <w:rPr>
          <w:rFonts w:ascii="Times New Roman" w:hAnsi="Times New Roman" w:cs="Times New Roman"/>
          <w:b/>
          <w:bCs/>
          <w:sz w:val="24"/>
          <w:szCs w:val="24"/>
        </w:rPr>
        <w:t>Constructing an anti-discriminatory index</w:t>
      </w:r>
    </w:p>
    <w:p w14:paraId="233AF4A9" w14:textId="77777777" w:rsidR="006C78A4" w:rsidRPr="006C78A4" w:rsidRDefault="006C78A4" w:rsidP="006C78A4">
      <w:pPr>
        <w:jc w:val="both"/>
      </w:pPr>
    </w:p>
    <w:p w14:paraId="1CB17C35" w14:textId="42D41EBF" w:rsidR="008144C3" w:rsidRDefault="0075784D" w:rsidP="006C78A4">
      <w:pPr>
        <w:jc w:val="both"/>
        <w:rPr>
          <w:rFonts w:ascii="Times New Roman" w:hAnsi="Times New Roman" w:cs="Times New Roman"/>
        </w:rPr>
      </w:pPr>
      <w:r w:rsidRPr="00EB6BBC">
        <w:rPr>
          <w:rFonts w:ascii="Times New Roman" w:hAnsi="Times New Roman" w:cs="Times New Roman"/>
        </w:rPr>
        <w:t xml:space="preserve">One may now approximately guess (see naïve solution = non-optimized solution) which </w:t>
      </w:r>
      <w:r w:rsidR="00FA4709">
        <w:rPr>
          <w:rFonts w:ascii="Times New Roman" w:hAnsi="Times New Roman" w:cs="Times New Roman"/>
        </w:rPr>
        <w:t>country</w:t>
      </w:r>
      <w:r w:rsidR="00FA4709" w:rsidRPr="00EB6BBC">
        <w:rPr>
          <w:rFonts w:ascii="Times New Roman" w:hAnsi="Times New Roman" w:cs="Times New Roman"/>
        </w:rPr>
        <w:t xml:space="preserve"> </w:t>
      </w:r>
      <w:r w:rsidRPr="00EB6BBC">
        <w:rPr>
          <w:rFonts w:ascii="Times New Roman" w:hAnsi="Times New Roman" w:cs="Times New Roman"/>
        </w:rPr>
        <w:t>or countries are the "best" based on these rankings</w:t>
      </w:r>
      <w:r w:rsidR="00FA4709">
        <w:rPr>
          <w:rFonts w:ascii="Times New Roman" w:hAnsi="Times New Roman" w:cs="Times New Roman"/>
        </w:rPr>
        <w:t xml:space="preserve"> in an aggregated way</w:t>
      </w:r>
      <w:r w:rsidR="00680AD5" w:rsidRPr="00EB6BBC">
        <w:rPr>
          <w:rFonts w:ascii="Times New Roman" w:hAnsi="Times New Roman" w:cs="Times New Roman"/>
        </w:rPr>
        <w:t xml:space="preserve"> (see figure 3)</w:t>
      </w:r>
      <w:r w:rsidRPr="00EB6BBC">
        <w:rPr>
          <w:rFonts w:ascii="Times New Roman" w:hAnsi="Times New Roman" w:cs="Times New Roman"/>
        </w:rPr>
        <w:t>. Obviously, personal preferences or interests play a significant role in this context, since not everyone values the same attributes/directions</w:t>
      </w:r>
      <w:r w:rsidR="00FA4709">
        <w:rPr>
          <w:rFonts w:ascii="Times New Roman" w:hAnsi="Times New Roman" w:cs="Times New Roman"/>
        </w:rPr>
        <w:t xml:space="preserve"> in a subjective (lobby-oriented) world – but not in a causal interpretation where the best model as such should be existing: The best modelling approach is the approach, which </w:t>
      </w:r>
      <w:proofErr w:type="gramStart"/>
      <w:r w:rsidR="00FA4709">
        <w:rPr>
          <w:rFonts w:ascii="Times New Roman" w:hAnsi="Times New Roman" w:cs="Times New Roman"/>
        </w:rPr>
        <w:t>is capable of deriving</w:t>
      </w:r>
      <w:proofErr w:type="gramEnd"/>
      <w:r w:rsidR="00FA4709">
        <w:rPr>
          <w:rFonts w:ascii="Times New Roman" w:hAnsi="Times New Roman" w:cs="Times New Roman"/>
        </w:rPr>
        <w:t xml:space="preserve"> the most robust (objectively close) approximations compared to the facts (in the future)</w:t>
      </w:r>
      <w:r w:rsidRPr="00EB6BBC">
        <w:rPr>
          <w:rFonts w:ascii="Times New Roman" w:hAnsi="Times New Roman" w:cs="Times New Roman"/>
        </w:rPr>
        <w:t xml:space="preserve">. Additionally, it is important to remember that certain traits are </w:t>
      </w:r>
      <w:r w:rsidR="00F63935" w:rsidRPr="00EB6BBC">
        <w:rPr>
          <w:rFonts w:ascii="Times New Roman" w:hAnsi="Times New Roman" w:cs="Times New Roman"/>
        </w:rPr>
        <w:t>subjective,</w:t>
      </w:r>
      <w:r w:rsidRPr="00EB6BBC">
        <w:rPr>
          <w:rFonts w:ascii="Times New Roman" w:hAnsi="Times New Roman" w:cs="Times New Roman"/>
        </w:rPr>
        <w:t xml:space="preserve"> and preferences cannot always be established. The better the more, or the better the less? </w:t>
      </w:r>
      <w:r w:rsidR="00F63935" w:rsidRPr="00EB6BBC">
        <w:rPr>
          <w:rFonts w:ascii="Times New Roman" w:hAnsi="Times New Roman" w:cs="Times New Roman"/>
        </w:rPr>
        <w:t>Based on</w:t>
      </w:r>
      <w:r w:rsidRPr="00EB6BBC">
        <w:rPr>
          <w:rFonts w:ascii="Times New Roman" w:hAnsi="Times New Roman" w:cs="Times New Roman"/>
        </w:rPr>
        <w:t xml:space="preserve"> previous studies, so-called directed preferences have been created (see figure 1).</w:t>
      </w:r>
      <w:r w:rsidR="00FA4709">
        <w:rPr>
          <w:rFonts w:ascii="Times New Roman" w:hAnsi="Times New Roman" w:cs="Times New Roman"/>
        </w:rPr>
        <w:t xml:space="preserve"> </w:t>
      </w:r>
    </w:p>
    <w:p w14:paraId="1FE53449" w14:textId="237EEC60" w:rsidR="00FA4709" w:rsidRPr="00FA4709" w:rsidRDefault="00DB4A1D" w:rsidP="006C78A4">
      <w:pPr>
        <w:jc w:val="both"/>
        <w:rPr>
          <w:rFonts w:ascii="Times New Roman" w:hAnsi="Times New Roman" w:cs="Times New Roman"/>
        </w:rPr>
      </w:pPr>
      <w:r>
        <w:rPr>
          <w:rFonts w:ascii="Times New Roman" w:hAnsi="Times New Roman" w:cs="Times New Roman"/>
        </w:rPr>
        <w:t xml:space="preserve">When comparing the direction and the results of the correlation (see figure 3), it can be evident, that there are differences between the statistical reality and the expected or rather proposed direction, which is based on both </w:t>
      </w:r>
      <w:r w:rsidR="002027DE">
        <w:rPr>
          <w:rFonts w:ascii="Times New Roman" w:hAnsi="Times New Roman" w:cs="Times New Roman"/>
        </w:rPr>
        <w:t xml:space="preserve">the </w:t>
      </w:r>
      <w:r>
        <w:rPr>
          <w:rFonts w:ascii="Times New Roman" w:hAnsi="Times New Roman" w:cs="Times New Roman"/>
        </w:rPr>
        <w:t xml:space="preserve">academic </w:t>
      </w:r>
      <w:r w:rsidR="002027DE">
        <w:rPr>
          <w:rFonts w:ascii="Times New Roman" w:hAnsi="Times New Roman" w:cs="Times New Roman"/>
        </w:rPr>
        <w:t xml:space="preserve">standard </w:t>
      </w:r>
      <w:r>
        <w:rPr>
          <w:rFonts w:ascii="Times New Roman" w:hAnsi="Times New Roman" w:cs="Times New Roman"/>
        </w:rPr>
        <w:t xml:space="preserve">and </w:t>
      </w:r>
      <w:r w:rsidR="002027DE">
        <w:rPr>
          <w:rFonts w:ascii="Times New Roman" w:hAnsi="Times New Roman" w:cs="Times New Roman"/>
        </w:rPr>
        <w:t>(economic) policymaking.</w:t>
      </w:r>
      <w:r w:rsidR="0010704D">
        <w:rPr>
          <w:rFonts w:ascii="Times New Roman" w:hAnsi="Times New Roman" w:cs="Times New Roman"/>
        </w:rPr>
        <w:t xml:space="preserve"> It can be </w:t>
      </w:r>
      <w:r w:rsidR="00B55FDE">
        <w:rPr>
          <w:rFonts w:ascii="Times New Roman" w:hAnsi="Times New Roman" w:cs="Times New Roman"/>
        </w:rPr>
        <w:t>observed</w:t>
      </w:r>
      <w:r w:rsidR="0010704D">
        <w:rPr>
          <w:rFonts w:ascii="Times New Roman" w:hAnsi="Times New Roman" w:cs="Times New Roman"/>
        </w:rPr>
        <w:t xml:space="preserve"> that public expenditures in research and development by far do not pose any statistical relevance</w:t>
      </w:r>
      <w:r w:rsidR="004657D3">
        <w:rPr>
          <w:rFonts w:ascii="Times New Roman" w:hAnsi="Times New Roman" w:cs="Times New Roman"/>
        </w:rPr>
        <w:t xml:space="preserve">, indicating that blindly spending into </w:t>
      </w:r>
      <w:r w:rsidR="00B157DE">
        <w:rPr>
          <w:rFonts w:ascii="Times New Roman" w:hAnsi="Times New Roman" w:cs="Times New Roman"/>
        </w:rPr>
        <w:t>any</w:t>
      </w:r>
      <w:r w:rsidR="004657D3">
        <w:rPr>
          <w:rFonts w:ascii="Times New Roman" w:hAnsi="Times New Roman" w:cs="Times New Roman"/>
        </w:rPr>
        <w:t xml:space="preserve"> research and development, </w:t>
      </w:r>
      <w:proofErr w:type="gramStart"/>
      <w:r w:rsidR="004657D3">
        <w:rPr>
          <w:rFonts w:ascii="Times New Roman" w:hAnsi="Times New Roman" w:cs="Times New Roman"/>
        </w:rPr>
        <w:t>i.e.</w:t>
      </w:r>
      <w:proofErr w:type="gramEnd"/>
      <w:r w:rsidR="004657D3">
        <w:rPr>
          <w:rFonts w:ascii="Times New Roman" w:hAnsi="Times New Roman" w:cs="Times New Roman"/>
        </w:rPr>
        <w:t xml:space="preserve"> by lacking a due-diligence</w:t>
      </w:r>
      <w:r w:rsidR="00B157DE">
        <w:rPr>
          <w:rFonts w:ascii="Times New Roman" w:hAnsi="Times New Roman" w:cs="Times New Roman"/>
        </w:rPr>
        <w:t xml:space="preserve">, does not propose any direct influence on the success of hydrogen cars. Direct contrast can also be observed; countries heavily invested in the automotive industry have an opposite effect and seem to reject hydrogen technology quite aggressively. </w:t>
      </w:r>
      <w:r w:rsidR="003C2AD6">
        <w:rPr>
          <w:rFonts w:ascii="Times New Roman" w:hAnsi="Times New Roman" w:cs="Times New Roman"/>
        </w:rPr>
        <w:t>Indicating a direct interest conflict, countries with a high industrial dependency might focus on preserving the status quo in fear of</w:t>
      </w:r>
      <w:r w:rsidR="00B55FDE">
        <w:rPr>
          <w:rFonts w:ascii="Times New Roman" w:hAnsi="Times New Roman" w:cs="Times New Roman"/>
        </w:rPr>
        <w:t xml:space="preserve"> losing market dominance. </w:t>
      </w:r>
    </w:p>
    <w:p w14:paraId="235A92A6" w14:textId="43901527" w:rsidR="00665AFF" w:rsidRDefault="00573157" w:rsidP="00ED4762">
      <w:pPr>
        <w:jc w:val="both"/>
        <w:rPr>
          <w:rFonts w:ascii="Times New Roman" w:hAnsi="Times New Roman" w:cs="Times New Roman"/>
        </w:rPr>
      </w:pPr>
      <w:r w:rsidRPr="00EB6BBC">
        <w:rPr>
          <w:rFonts w:ascii="Times New Roman" w:hAnsi="Times New Roman" w:cs="Times New Roman"/>
        </w:rPr>
        <w:t xml:space="preserve">The obtained (ranking) data were then analysed using COCO (Component-based Object Comparison for Objectivity) to generate an optimum approximation of the </w:t>
      </w:r>
      <w:proofErr w:type="spellStart"/>
      <w:r w:rsidRPr="00EB6BBC">
        <w:rPr>
          <w:rFonts w:ascii="Times New Roman" w:hAnsi="Times New Roman" w:cs="Times New Roman"/>
        </w:rPr>
        <w:t>ideality</w:t>
      </w:r>
      <w:proofErr w:type="spellEnd"/>
      <w:r w:rsidRPr="00EB6BBC">
        <w:rPr>
          <w:rFonts w:ascii="Times New Roman" w:hAnsi="Times New Roman" w:cs="Times New Roman"/>
        </w:rPr>
        <w:t xml:space="preserve"> index values. Due to the tiny number, Y was </w:t>
      </w:r>
      <w:r w:rsidR="00A46FB3" w:rsidRPr="00EB6BBC">
        <w:rPr>
          <w:rFonts w:ascii="Times New Roman" w:hAnsi="Times New Roman" w:cs="Times New Roman"/>
        </w:rPr>
        <w:t>set</w:t>
      </w:r>
      <w:r w:rsidRPr="00EB6BBC">
        <w:rPr>
          <w:rFonts w:ascii="Times New Roman" w:hAnsi="Times New Roman" w:cs="Times New Roman"/>
        </w:rPr>
        <w:t xml:space="preserve"> </w:t>
      </w:r>
      <w:r w:rsidR="00A46FB3" w:rsidRPr="00EB6BBC">
        <w:rPr>
          <w:rFonts w:ascii="Times New Roman" w:hAnsi="Times New Roman" w:cs="Times New Roman"/>
        </w:rPr>
        <w:t>to</w:t>
      </w:r>
      <w:r w:rsidRPr="00EB6BBC">
        <w:rPr>
          <w:rFonts w:ascii="Times New Roman" w:hAnsi="Times New Roman" w:cs="Times New Roman"/>
        </w:rPr>
        <w:t xml:space="preserve"> </w:t>
      </w:r>
      <w:r w:rsidR="003A546C" w:rsidRPr="00EB6BBC">
        <w:rPr>
          <w:rFonts w:ascii="Times New Roman" w:hAnsi="Times New Roman" w:cs="Times New Roman"/>
        </w:rPr>
        <w:t>1000000</w:t>
      </w:r>
      <w:r w:rsidR="00B82EAE" w:rsidRPr="00EB6BBC">
        <w:rPr>
          <w:rFonts w:ascii="Times New Roman" w:hAnsi="Times New Roman" w:cs="Times New Roman"/>
        </w:rPr>
        <w:t xml:space="preserve"> as a norm</w:t>
      </w:r>
      <w:r w:rsidR="003A546C" w:rsidRPr="00EB6BBC">
        <w:rPr>
          <w:rFonts w:ascii="Times New Roman" w:hAnsi="Times New Roman" w:cs="Times New Roman"/>
        </w:rPr>
        <w:t xml:space="preserve"> </w:t>
      </w:r>
      <w:r w:rsidRPr="00EB6BBC">
        <w:rPr>
          <w:rFonts w:ascii="Times New Roman" w:hAnsi="Times New Roman" w:cs="Times New Roman"/>
        </w:rPr>
        <w:t xml:space="preserve">before being assigned as a variable (cf. anti-discrimination study - where the constant Y values may be computed for each country using </w:t>
      </w:r>
      <w:r w:rsidR="00437A0A">
        <w:rPr>
          <w:rFonts w:ascii="Times New Roman" w:hAnsi="Times New Roman" w:cs="Times New Roman"/>
        </w:rPr>
        <w:t xml:space="preserve">(flexible but interpretable) </w:t>
      </w:r>
      <w:r w:rsidRPr="00EB6BBC">
        <w:rPr>
          <w:rFonts w:ascii="Times New Roman" w:hAnsi="Times New Roman" w:cs="Times New Roman"/>
        </w:rPr>
        <w:t>staircase functions based on the Xi values), yielding the following result:</w:t>
      </w:r>
      <w:r w:rsidR="00404398">
        <w:rPr>
          <w:rFonts w:ascii="Times New Roman" w:hAnsi="Times New Roman" w:cs="Times New Roman"/>
        </w:rPr>
        <w:t xml:space="preserve"> </w:t>
      </w:r>
    </w:p>
    <w:p w14:paraId="4FEB4FE2" w14:textId="098849B8" w:rsidR="00ED4762" w:rsidRPr="00665AFF" w:rsidRDefault="00ED4762" w:rsidP="00ED4762">
      <w:pPr>
        <w:jc w:val="both"/>
        <w:rPr>
          <w:rFonts w:ascii="Times New Roman" w:hAnsi="Times New Roman" w:cs="Times New Roman"/>
        </w:rPr>
      </w:pPr>
      <w:r w:rsidRPr="00EB6BBC">
        <w:rPr>
          <w:rFonts w:ascii="Times New Roman" w:hAnsi="Times New Roman" w:cs="Times New Roman"/>
          <w:noProof/>
        </w:rPr>
        <w:lastRenderedPageBreak/>
        <mc:AlternateContent>
          <mc:Choice Requires="wps">
            <w:drawing>
              <wp:anchor distT="0" distB="0" distL="114300" distR="114300" simplePos="0" relativeHeight="251667456" behindDoc="0" locked="0" layoutInCell="1" allowOverlap="1" wp14:anchorId="1320F014" wp14:editId="73B7E028">
                <wp:simplePos x="0" y="0"/>
                <wp:positionH relativeFrom="column">
                  <wp:posOffset>-684298</wp:posOffset>
                </wp:positionH>
                <wp:positionV relativeFrom="paragraph">
                  <wp:posOffset>3296842</wp:posOffset>
                </wp:positionV>
                <wp:extent cx="7205980" cy="635"/>
                <wp:effectExtent l="0" t="0" r="0" b="0"/>
                <wp:wrapThrough wrapText="bothSides">
                  <wp:wrapPolygon edited="0">
                    <wp:start x="0" y="0"/>
                    <wp:lineTo x="0" y="21600"/>
                    <wp:lineTo x="21600" y="21600"/>
                    <wp:lineTo x="21600" y="0"/>
                  </wp:wrapPolygon>
                </wp:wrapThrough>
                <wp:docPr id="8" name="Textfeld 8"/>
                <wp:cNvGraphicFramePr/>
                <a:graphic xmlns:a="http://schemas.openxmlformats.org/drawingml/2006/main">
                  <a:graphicData uri="http://schemas.microsoft.com/office/word/2010/wordprocessingShape">
                    <wps:wsp>
                      <wps:cNvSpPr txBox="1"/>
                      <wps:spPr>
                        <a:xfrm>
                          <a:off x="0" y="0"/>
                          <a:ext cx="7205980" cy="635"/>
                        </a:xfrm>
                        <a:prstGeom prst="rect">
                          <a:avLst/>
                        </a:prstGeom>
                        <a:solidFill>
                          <a:prstClr val="white"/>
                        </a:solidFill>
                        <a:ln>
                          <a:noFill/>
                        </a:ln>
                      </wps:spPr>
                      <wps:txbx>
                        <w:txbxContent>
                          <w:p w14:paraId="570298CB" w14:textId="5926C894" w:rsidR="003A546C" w:rsidRPr="00690C09" w:rsidRDefault="003A546C" w:rsidP="003A546C">
                            <w:pPr>
                              <w:pStyle w:val="Beschriftung"/>
                              <w:jc w:val="center"/>
                            </w:pPr>
                            <w:r>
                              <w:t xml:space="preserve">Figure </w:t>
                            </w:r>
                            <w:r w:rsidR="00083209">
                              <w:fldChar w:fldCharType="begin"/>
                            </w:r>
                            <w:r w:rsidR="00083209">
                              <w:instrText xml:space="preserve"> SEQ Figure \* ARABIC </w:instrText>
                            </w:r>
                            <w:r w:rsidR="00083209">
                              <w:fldChar w:fldCharType="separate"/>
                            </w:r>
                            <w:r>
                              <w:rPr>
                                <w:noProof/>
                              </w:rPr>
                              <w:t>4</w:t>
                            </w:r>
                            <w:r w:rsidR="00083209">
                              <w:rPr>
                                <w:noProof/>
                              </w:rPr>
                              <w:fldChar w:fldCharType="end"/>
                            </w:r>
                            <w:r>
                              <w:t xml:space="preserve">. Results of the </w:t>
                            </w:r>
                            <w:r w:rsidRPr="00ED4762">
                              <w:rPr>
                                <w:color w:val="000000" w:themeColor="text1"/>
                              </w:rPr>
                              <w:t>COCO-</w:t>
                            </w:r>
                            <w:r w:rsidR="00404398" w:rsidRPr="00ED4762">
                              <w:rPr>
                                <w:color w:val="000000" w:themeColor="text1"/>
                              </w:rPr>
                              <w:t xml:space="preserve">Y0 </w:t>
                            </w:r>
                            <w:r>
                              <w:t>Method</w:t>
                            </w:r>
                            <w:r w:rsidR="00437A0A">
                              <w:t xml:space="preserve"> (source: </w:t>
                            </w:r>
                            <w:hyperlink r:id="rId19" w:history="1">
                              <w:r w:rsidR="00437A0A" w:rsidRPr="00437A0A">
                                <w:rPr>
                                  <w:rStyle w:val="Hyperlink"/>
                                  <w:rFonts w:ascii="Times New Roman" w:hAnsi="Times New Roman" w:cs="Times New Roman"/>
                                </w:rPr>
                                <w:t>https://miau.my-x.hu/miau/294/hydrogen_market_analyses_2023_abs.xlsx</w:t>
                              </w:r>
                            </w:hyperlink>
                            <w:r w:rsidR="00437A0A">
                              <w:rPr>
                                <w:rFonts w:ascii="Times New Roman" w:hAnsi="Times New Roman" w:cs="Times New Roma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20F014" id="Textfeld 8" o:spid="_x0000_s1027" type="#_x0000_t202" style="position:absolute;left:0;text-align:left;margin-left:-53.9pt;margin-top:259.6pt;width:567.4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" stroked="f">
                <v:textbox style="mso-fit-shape-to-text:t" inset="0,0,0,0">
                  <w:txbxContent>
                    <w:p w14:paraId="570298CB" w14:textId="5926C894" w:rsidR="003A546C" w:rsidRPr="00690C09" w:rsidRDefault="003A546C" w:rsidP="003A546C">
                      <w:pPr>
                        <w:pStyle w:val="Beschriftung"/>
                        <w:jc w:val="center"/>
                      </w:pPr>
                      <w:r>
                        <w:t xml:space="preserve">Figure </w:t>
                      </w:r>
                      <w:r w:rsidR="00083209">
                        <w:fldChar w:fldCharType="begin"/>
                      </w:r>
                      <w:r w:rsidR="00083209">
                        <w:instrText xml:space="preserve"> SEQ Figure \* ARABIC </w:instrText>
                      </w:r>
                      <w:r w:rsidR="00083209">
                        <w:fldChar w:fldCharType="separate"/>
                      </w:r>
                      <w:r>
                        <w:rPr>
                          <w:noProof/>
                        </w:rPr>
                        <w:t>4</w:t>
                      </w:r>
                      <w:r w:rsidR="00083209">
                        <w:rPr>
                          <w:noProof/>
                        </w:rPr>
                        <w:fldChar w:fldCharType="end"/>
                      </w:r>
                      <w:r>
                        <w:t xml:space="preserve">. Results of the </w:t>
                      </w:r>
                      <w:r w:rsidRPr="00ED4762">
                        <w:rPr>
                          <w:color w:val="000000" w:themeColor="text1"/>
                        </w:rPr>
                        <w:t>COCO-</w:t>
                      </w:r>
                      <w:r w:rsidR="00404398" w:rsidRPr="00ED4762">
                        <w:rPr>
                          <w:color w:val="000000" w:themeColor="text1"/>
                        </w:rPr>
                        <w:t xml:space="preserve">Y0 </w:t>
                      </w:r>
                      <w:r>
                        <w:t>Method</w:t>
                      </w:r>
                      <w:r w:rsidR="00437A0A">
                        <w:t xml:space="preserve"> (source: </w:t>
                      </w:r>
                      <w:hyperlink r:id="rId20" w:history="1">
                        <w:r w:rsidR="00437A0A" w:rsidRPr="00437A0A">
                          <w:rPr>
                            <w:rStyle w:val="Hyperlink"/>
                            <w:rFonts w:ascii="Times New Roman" w:hAnsi="Times New Roman" w:cs="Times New Roman"/>
                          </w:rPr>
                          <w:t>https://miau.my-x.hu/miau/294/hydrogen_market_analyses_2023_abs.xlsx</w:t>
                        </w:r>
                      </w:hyperlink>
                      <w:r w:rsidR="00437A0A">
                        <w:rPr>
                          <w:rFonts w:ascii="Times New Roman" w:hAnsi="Times New Roman" w:cs="Times New Roman"/>
                        </w:rPr>
                        <w:t>)</w:t>
                      </w:r>
                    </w:p>
                  </w:txbxContent>
                </v:textbox>
                <w10:wrap type="through"/>
              </v:shape>
            </w:pict>
          </mc:Fallback>
        </mc:AlternateContent>
      </w:r>
      <w:r w:rsidRPr="00ED4762">
        <w:drawing>
          <wp:anchor distT="0" distB="0" distL="114300" distR="114300" simplePos="0" relativeHeight="251668480" behindDoc="0" locked="0" layoutInCell="1" allowOverlap="1" wp14:anchorId="56642D0A" wp14:editId="3B9645F3">
            <wp:simplePos x="0" y="0"/>
            <wp:positionH relativeFrom="column">
              <wp:posOffset>-425450</wp:posOffset>
            </wp:positionH>
            <wp:positionV relativeFrom="paragraph">
              <wp:posOffset>542</wp:posOffset>
            </wp:positionV>
            <wp:extent cx="6605846" cy="3225010"/>
            <wp:effectExtent l="0" t="0" r="5080" b="0"/>
            <wp:wrapThrough wrapText="bothSides">
              <wp:wrapPolygon edited="0">
                <wp:start x="0" y="0"/>
                <wp:lineTo x="0" y="21438"/>
                <wp:lineTo x="21554" y="21438"/>
                <wp:lineTo x="21554"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05846" cy="3225010"/>
                    </a:xfrm>
                    <a:prstGeom prst="rect">
                      <a:avLst/>
                    </a:prstGeom>
                    <a:noFill/>
                    <a:ln>
                      <a:noFill/>
                    </a:ln>
                  </pic:spPr>
                </pic:pic>
              </a:graphicData>
            </a:graphic>
          </wp:anchor>
        </w:drawing>
      </w:r>
    </w:p>
    <w:p w14:paraId="425B4E4B" w14:textId="4E3F4876" w:rsidR="000F299A" w:rsidRDefault="000F299A" w:rsidP="00D51541">
      <w:pPr>
        <w:jc w:val="both"/>
        <w:rPr>
          <w:rFonts w:ascii="Times New Roman" w:hAnsi="Times New Roman" w:cs="Times New Roman"/>
        </w:rPr>
      </w:pPr>
    </w:p>
    <w:p w14:paraId="7FB4532E" w14:textId="6E91C126" w:rsidR="00D51541" w:rsidRDefault="00D51541" w:rsidP="00D6203E">
      <w:pPr>
        <w:jc w:val="both"/>
        <w:rPr>
          <w:rFonts w:ascii="Times New Roman" w:hAnsi="Times New Roman" w:cs="Times New Roman"/>
        </w:rPr>
        <w:sectPr w:rsidR="00D51541" w:rsidSect="002968A0">
          <w:pgSz w:w="11906" w:h="16838"/>
          <w:pgMar w:top="1417" w:right="1417" w:bottom="1134" w:left="1417" w:header="709" w:footer="709" w:gutter="0"/>
          <w:cols w:space="708"/>
          <w:docGrid w:linePitch="360"/>
        </w:sectPr>
      </w:pPr>
    </w:p>
    <w:p w14:paraId="74943CF3" w14:textId="214687AB" w:rsidR="00C405ED" w:rsidRPr="00EB6BBC" w:rsidRDefault="00C405ED" w:rsidP="00D6203E">
      <w:pPr>
        <w:pStyle w:val="berschrift1"/>
        <w:jc w:val="both"/>
        <w:rPr>
          <w:rFonts w:ascii="Times New Roman" w:hAnsi="Times New Roman" w:cs="Times New Roman"/>
          <w:b/>
          <w:bCs/>
        </w:rPr>
      </w:pPr>
      <w:r w:rsidRPr="00EB6BBC">
        <w:rPr>
          <w:rFonts w:ascii="Times New Roman" w:hAnsi="Times New Roman" w:cs="Times New Roman"/>
          <w:b/>
          <w:bCs/>
        </w:rPr>
        <w:lastRenderedPageBreak/>
        <w:t>Results</w:t>
      </w:r>
    </w:p>
    <w:p w14:paraId="4B29B796" w14:textId="61B3C655" w:rsidR="0010643E" w:rsidRPr="00EB6BBC" w:rsidRDefault="00B61D98" w:rsidP="006C78A4">
      <w:pPr>
        <w:jc w:val="both"/>
        <w:rPr>
          <w:rFonts w:ascii="Times New Roman" w:hAnsi="Times New Roman" w:cs="Times New Roman"/>
        </w:rPr>
      </w:pPr>
      <w:r w:rsidRPr="00EB6BBC">
        <w:rPr>
          <w:rFonts w:ascii="Times New Roman" w:hAnsi="Times New Roman" w:cs="Times New Roman"/>
        </w:rPr>
        <w:br/>
      </w:r>
      <w:r w:rsidR="0010643E" w:rsidRPr="00EB6BBC">
        <w:rPr>
          <w:rFonts w:ascii="Times New Roman" w:hAnsi="Times New Roman" w:cs="Times New Roman"/>
        </w:rPr>
        <w:t>The results</w:t>
      </w:r>
      <w:r w:rsidR="00671858">
        <w:rPr>
          <w:rFonts w:ascii="Times New Roman" w:hAnsi="Times New Roman" w:cs="Times New Roman"/>
        </w:rPr>
        <w:t xml:space="preserve"> (of the anti-discriminative modelling</w:t>
      </w:r>
      <w:r w:rsidR="00404398">
        <w:rPr>
          <w:rFonts w:ascii="Times New Roman" w:hAnsi="Times New Roman" w:cs="Times New Roman"/>
        </w:rPr>
        <w:t xml:space="preserve"> – see Figure#4</w:t>
      </w:r>
      <w:r w:rsidR="00671858">
        <w:rPr>
          <w:rFonts w:ascii="Times New Roman" w:hAnsi="Times New Roman" w:cs="Times New Roman"/>
        </w:rPr>
        <w:t>)</w:t>
      </w:r>
      <w:r w:rsidR="0010643E" w:rsidRPr="00EB6BBC">
        <w:rPr>
          <w:rFonts w:ascii="Times New Roman" w:hAnsi="Times New Roman" w:cs="Times New Roman"/>
        </w:rPr>
        <w:t xml:space="preserve">, which are commonly referred to as the Innovation Diffusion Index, illustrate how many hydrogen-powered automobiles each country could support in comparison to the average number of cars in the world. Accordingly, Finland, Sweden, and the Netherlands are the top three countries, which is in line with the hypotheses and does not significantly deviate from the naïve predictions. </w:t>
      </w:r>
      <w:proofErr w:type="gramStart"/>
      <w:r w:rsidR="0010643E" w:rsidRPr="00EB6BBC">
        <w:rPr>
          <w:rFonts w:ascii="Times New Roman" w:hAnsi="Times New Roman" w:cs="Times New Roman"/>
        </w:rPr>
        <w:t>In spite of</w:t>
      </w:r>
      <w:proofErr w:type="gramEnd"/>
      <w:r w:rsidR="0010643E" w:rsidRPr="00EB6BBC">
        <w:rPr>
          <w:rFonts w:ascii="Times New Roman" w:hAnsi="Times New Roman" w:cs="Times New Roman"/>
        </w:rPr>
        <w:t xml:space="preserve"> this, the Czech Republic, Romania, Estonia, Slovakia, Spain, and Germany all deviate quite a little from their initial estimates, with the greatest deviations occurring in increasing order</w:t>
      </w:r>
      <w:r w:rsidR="00671858">
        <w:rPr>
          <w:rFonts w:ascii="Times New Roman" w:hAnsi="Times New Roman" w:cs="Times New Roman"/>
        </w:rPr>
        <w:t xml:space="preserve"> (see Figure 4 – Column “Differences between naïve and optimized ranking values)</w:t>
      </w:r>
      <w:r w:rsidR="0010643E" w:rsidRPr="00EB6BBC">
        <w:rPr>
          <w:rFonts w:ascii="Times New Roman" w:hAnsi="Times New Roman" w:cs="Times New Roman"/>
        </w:rPr>
        <w:t>.</w:t>
      </w:r>
    </w:p>
    <w:p w14:paraId="02CD998F" w14:textId="32923436" w:rsidR="00391C03" w:rsidRDefault="0010643E" w:rsidP="006C78A4">
      <w:pPr>
        <w:jc w:val="both"/>
        <w:rPr>
          <w:rFonts w:ascii="Times New Roman" w:hAnsi="Times New Roman" w:cs="Times New Roman"/>
        </w:rPr>
      </w:pPr>
      <w:r w:rsidRPr="00EB6BBC">
        <w:rPr>
          <w:rFonts w:ascii="Times New Roman" w:hAnsi="Times New Roman" w:cs="Times New Roman"/>
        </w:rPr>
        <w:t xml:space="preserve">The naïve viewpoint gives the dispersion, which is the root of this discrepancy, very little consideration. Germany is especially appealing for a variety of reasons, including the accessibility of hydrogen filling stations and the commercial dominance of the automotive industry, amongst other factors. Nevertheless, it is ranked dead last in one category, which is the price of electricity. This factor has a significant influence </w:t>
      </w:r>
      <w:r w:rsidR="00310407">
        <w:rPr>
          <w:rFonts w:ascii="Times New Roman" w:hAnsi="Times New Roman" w:cs="Times New Roman"/>
        </w:rPr>
        <w:t xml:space="preserve">(concerning the </w:t>
      </w:r>
      <w:r w:rsidR="00D6203E">
        <w:rPr>
          <w:rFonts w:ascii="Times New Roman" w:hAnsi="Times New Roman" w:cs="Times New Roman"/>
        </w:rPr>
        <w:t>analysed</w:t>
      </w:r>
      <w:r w:rsidR="00310407">
        <w:rPr>
          <w:rFonts w:ascii="Times New Roman" w:hAnsi="Times New Roman" w:cs="Times New Roman"/>
        </w:rPr>
        <w:t xml:space="preserve"> data </w:t>
      </w:r>
      <w:r w:rsidR="00D6203E">
        <w:rPr>
          <w:rFonts w:ascii="Times New Roman" w:hAnsi="Times New Roman" w:cs="Times New Roman"/>
        </w:rPr>
        <w:t>universe</w:t>
      </w:r>
      <w:r w:rsidR="00310407">
        <w:rPr>
          <w:rFonts w:ascii="Times New Roman" w:hAnsi="Times New Roman" w:cs="Times New Roman"/>
        </w:rPr>
        <w:t>/OAM</w:t>
      </w:r>
      <w:r w:rsidR="000B7C63">
        <w:rPr>
          <w:rFonts w:ascii="Times New Roman" w:hAnsi="Times New Roman" w:cs="Times New Roman"/>
        </w:rPr>
        <w:t xml:space="preserve"> see Figure 2&amp;3</w:t>
      </w:r>
      <w:r w:rsidR="00310407">
        <w:rPr>
          <w:rFonts w:ascii="Times New Roman" w:hAnsi="Times New Roman" w:cs="Times New Roman"/>
        </w:rPr>
        <w:t xml:space="preserve">) </w:t>
      </w:r>
      <w:r w:rsidRPr="00EB6BBC">
        <w:rPr>
          <w:rFonts w:ascii="Times New Roman" w:hAnsi="Times New Roman" w:cs="Times New Roman"/>
        </w:rPr>
        <w:t xml:space="preserve">on the cost component of the hydrogen that is created, as well as on the future costs related with the purchase of a hydrogen vehicle. When compared to the naïve method, the COCO model places a greater emphasis on the significance of this component. Therefore, according to the naïve perspective, certain countries are superior, </w:t>
      </w:r>
      <w:r w:rsidR="00D6203E" w:rsidRPr="00EB6BBC">
        <w:rPr>
          <w:rFonts w:ascii="Times New Roman" w:hAnsi="Times New Roman" w:cs="Times New Roman"/>
        </w:rPr>
        <w:t>even though</w:t>
      </w:r>
      <w:r w:rsidRPr="00EB6BBC">
        <w:rPr>
          <w:rFonts w:ascii="Times New Roman" w:hAnsi="Times New Roman" w:cs="Times New Roman"/>
        </w:rPr>
        <w:t xml:space="preserve"> their dispersion conceals enormous inefficiencies and, as a result, may cause decision makers to reach the incorrect conclusions. The use of large numbers may cloud the problems at hand and make it more difficult to make acceptable adjustments to levers such as the government's budget.</w:t>
      </w:r>
    </w:p>
    <w:p w14:paraId="7C493D4C" w14:textId="408DD026" w:rsidR="007661F8" w:rsidRPr="00EB6BBC" w:rsidRDefault="00D6203E" w:rsidP="006C78A4">
      <w:pPr>
        <w:jc w:val="both"/>
        <w:rPr>
          <w:rFonts w:ascii="Times New Roman" w:hAnsi="Times New Roman" w:cs="Times New Roman"/>
        </w:rPr>
      </w:pPr>
      <w:r>
        <w:rPr>
          <w:rFonts w:ascii="Times New Roman" w:hAnsi="Times New Roman" w:cs="Times New Roman"/>
        </w:rPr>
        <w:t>Overall</w:t>
      </w:r>
      <w:r w:rsidR="00404398">
        <w:rPr>
          <w:rFonts w:ascii="Times New Roman" w:hAnsi="Times New Roman" w:cs="Times New Roman"/>
        </w:rPr>
        <w:t xml:space="preserve"> – based on the production function behind the Figure#3</w:t>
      </w:r>
      <w:r>
        <w:rPr>
          <w:rFonts w:ascii="Times New Roman" w:hAnsi="Times New Roman" w:cs="Times New Roman"/>
        </w:rPr>
        <w:t>,</w:t>
      </w:r>
      <w:r w:rsidR="007661F8">
        <w:rPr>
          <w:rFonts w:ascii="Times New Roman" w:hAnsi="Times New Roman" w:cs="Times New Roman"/>
        </w:rPr>
        <w:t xml:space="preserve"> some countries could sustain more hydrogen vehicles than they currently do and thereby offer a higher potential of market establishing, namely Finland, </w:t>
      </w:r>
      <w:r w:rsidR="001D347A">
        <w:rPr>
          <w:rFonts w:ascii="Times New Roman" w:hAnsi="Times New Roman" w:cs="Times New Roman"/>
        </w:rPr>
        <w:t>Austria</w:t>
      </w:r>
      <w:r w:rsidR="007661F8">
        <w:rPr>
          <w:rFonts w:ascii="Times New Roman" w:hAnsi="Times New Roman" w:cs="Times New Roman"/>
        </w:rPr>
        <w:t xml:space="preserve">, Belgium, the Netherlands, </w:t>
      </w:r>
      <w:proofErr w:type="gramStart"/>
      <w:r w:rsidR="001D347A">
        <w:rPr>
          <w:rFonts w:ascii="Times New Roman" w:hAnsi="Times New Roman" w:cs="Times New Roman"/>
        </w:rPr>
        <w:t>Norway</w:t>
      </w:r>
      <w:proofErr w:type="gramEnd"/>
      <w:r w:rsidR="001D347A">
        <w:rPr>
          <w:rFonts w:ascii="Times New Roman" w:hAnsi="Times New Roman" w:cs="Times New Roman"/>
        </w:rPr>
        <w:t xml:space="preserve"> and Sweden. On the opposite, some countries lack behind in multiple socio-economic factors </w:t>
      </w:r>
      <w:r w:rsidR="00BA562C">
        <w:rPr>
          <w:rFonts w:ascii="Times New Roman" w:hAnsi="Times New Roman" w:cs="Times New Roman"/>
        </w:rPr>
        <w:t xml:space="preserve">Serbia, </w:t>
      </w:r>
      <w:r>
        <w:rPr>
          <w:rFonts w:ascii="Times New Roman" w:hAnsi="Times New Roman" w:cs="Times New Roman"/>
        </w:rPr>
        <w:t>Latvia,</w:t>
      </w:r>
      <w:r w:rsidR="00BA562C">
        <w:rPr>
          <w:rFonts w:ascii="Times New Roman" w:hAnsi="Times New Roman" w:cs="Times New Roman"/>
        </w:rPr>
        <w:t xml:space="preserve"> and Bulgaria. As an example, Serbia has the </w:t>
      </w:r>
      <w:r w:rsidR="006233EC">
        <w:rPr>
          <w:rFonts w:ascii="Times New Roman" w:hAnsi="Times New Roman" w:cs="Times New Roman"/>
        </w:rPr>
        <w:t xml:space="preserve">lowest R&amp;D expenditure per capita, has a minimal car market relevance, </w:t>
      </w:r>
      <w:r w:rsidR="00765E88">
        <w:rPr>
          <w:rFonts w:ascii="Times New Roman" w:hAnsi="Times New Roman" w:cs="Times New Roman"/>
        </w:rPr>
        <w:t xml:space="preserve">low amounts of zero-emission vehicles and thereby, by default cannot rank high as it is below average in </w:t>
      </w:r>
      <w:r w:rsidR="003B77EF">
        <w:rPr>
          <w:rFonts w:ascii="Times New Roman" w:hAnsi="Times New Roman" w:cs="Times New Roman"/>
        </w:rPr>
        <w:t xml:space="preserve">8 of 10 variables. </w:t>
      </w:r>
    </w:p>
    <w:p w14:paraId="5B850244" w14:textId="7E9D4752" w:rsidR="002E434A" w:rsidRPr="00EB6BBC" w:rsidRDefault="002E434A" w:rsidP="00D6203E">
      <w:pPr>
        <w:pStyle w:val="berschrift1"/>
        <w:jc w:val="both"/>
        <w:rPr>
          <w:rFonts w:ascii="Times New Roman" w:hAnsi="Times New Roman" w:cs="Times New Roman"/>
          <w:b/>
          <w:bCs/>
        </w:rPr>
      </w:pPr>
      <w:r w:rsidRPr="00EB6BBC">
        <w:rPr>
          <w:rFonts w:ascii="Times New Roman" w:hAnsi="Times New Roman" w:cs="Times New Roman"/>
          <w:b/>
          <w:bCs/>
        </w:rPr>
        <w:t>Conclusion and future</w:t>
      </w:r>
    </w:p>
    <w:p w14:paraId="34C11EC7" w14:textId="77777777" w:rsidR="0066121F" w:rsidRPr="00EB6BBC" w:rsidRDefault="0066121F" w:rsidP="00D6203E">
      <w:pPr>
        <w:jc w:val="both"/>
        <w:rPr>
          <w:rFonts w:ascii="Times New Roman" w:hAnsi="Times New Roman" w:cs="Times New Roman"/>
        </w:rPr>
      </w:pPr>
    </w:p>
    <w:p w14:paraId="4CA96096" w14:textId="77777777" w:rsidR="00FB5604" w:rsidRPr="00FB5604" w:rsidRDefault="00FB5604" w:rsidP="00D6203E">
      <w:pPr>
        <w:jc w:val="both"/>
        <w:rPr>
          <w:rFonts w:ascii="Times New Roman" w:hAnsi="Times New Roman" w:cs="Times New Roman"/>
        </w:rPr>
      </w:pPr>
      <w:r w:rsidRPr="00FB5604">
        <w:rPr>
          <w:rFonts w:ascii="Times New Roman" w:hAnsi="Times New Roman" w:cs="Times New Roman"/>
        </w:rPr>
        <w:t>This quantitative methodological approach was used to develop a model that illustrates Europe's strategic missing-out in hydrogen-electric private mobility, customer responsiveness and technological acceptance of a different propulsion in privately owned cars, and the countries' potential under the status quo.</w:t>
      </w:r>
    </w:p>
    <w:p w14:paraId="18EB2CC4" w14:textId="77777777" w:rsidR="00FB5604" w:rsidRPr="00FB5604" w:rsidRDefault="00FB5604" w:rsidP="00D6203E">
      <w:pPr>
        <w:jc w:val="both"/>
        <w:rPr>
          <w:rFonts w:ascii="Times New Roman" w:hAnsi="Times New Roman" w:cs="Times New Roman"/>
        </w:rPr>
      </w:pPr>
      <w:r w:rsidRPr="00FB5604">
        <w:rPr>
          <w:rFonts w:ascii="Times New Roman" w:hAnsi="Times New Roman" w:cs="Times New Roman"/>
        </w:rPr>
        <w:t xml:space="preserve">Economic development and consumer responsiveness are imperilled by ineffective policymaking that impedes market penetration and economic innovation. </w:t>
      </w:r>
      <w:proofErr w:type="gramStart"/>
      <w:r w:rsidRPr="00FB5604">
        <w:rPr>
          <w:rFonts w:ascii="Times New Roman" w:hAnsi="Times New Roman" w:cs="Times New Roman"/>
        </w:rPr>
        <w:t>On the basis of</w:t>
      </w:r>
      <w:proofErr w:type="gramEnd"/>
      <w:r w:rsidRPr="00FB5604">
        <w:rPr>
          <w:rFonts w:ascii="Times New Roman" w:hAnsi="Times New Roman" w:cs="Times New Roman"/>
        </w:rPr>
        <w:t xml:space="preserve"> eight criteria, the current status of Central European states in adopting and effectively changing hydrogen-based automobiles was determined using a component-based object comparison technique for objectivity. Ecological, price elasticity, and infrastructure variables are evaluated.</w:t>
      </w:r>
    </w:p>
    <w:p w14:paraId="11211F9E" w14:textId="1B65C10D" w:rsidR="00FB5604" w:rsidRPr="00FB5604" w:rsidRDefault="00FB5604" w:rsidP="00D6203E">
      <w:pPr>
        <w:jc w:val="both"/>
        <w:rPr>
          <w:rFonts w:ascii="Times New Roman" w:hAnsi="Times New Roman" w:cs="Times New Roman"/>
        </w:rPr>
      </w:pPr>
      <w:r w:rsidRPr="00FB5604">
        <w:rPr>
          <w:rFonts w:ascii="Times New Roman" w:hAnsi="Times New Roman" w:cs="Times New Roman"/>
        </w:rPr>
        <w:t xml:space="preserve">It is crucial to recognise the limits of research notwithstanding its tremendous triumphs. The technique's shortcomings are discussed first. Only Europeans were included in the data and subsequent analysis, and policymakers and innovation strategies concentrated only on the expansion of personal car mobility in this designated area. Consequently, these findings only reflect the situation in its current setting; research in other locales may give dramatically different outcomes owing to substantial variations in autonomy, political decision-making, external repercussions of radical change, industry standards, and managerial practises. In addition, this research did not concentrate on </w:t>
      </w:r>
      <w:proofErr w:type="gramStart"/>
      <w:r w:rsidRPr="00FB5604">
        <w:rPr>
          <w:rFonts w:ascii="Times New Roman" w:hAnsi="Times New Roman" w:cs="Times New Roman"/>
        </w:rPr>
        <w:t>particular brands</w:t>
      </w:r>
      <w:proofErr w:type="gramEnd"/>
      <w:r w:rsidRPr="00FB5604">
        <w:rPr>
          <w:rFonts w:ascii="Times New Roman" w:hAnsi="Times New Roman" w:cs="Times New Roman"/>
        </w:rPr>
        <w:t xml:space="preserve"> or companies; rather, it covered a wide range of automobile companies. Moreover, not every facet of innovation was </w:t>
      </w:r>
      <w:r w:rsidRPr="00FB5604">
        <w:rPr>
          <w:rFonts w:ascii="Times New Roman" w:hAnsi="Times New Roman" w:cs="Times New Roman"/>
        </w:rPr>
        <w:lastRenderedPageBreak/>
        <w:t xml:space="preserve">studied. It is not </w:t>
      </w:r>
      <w:r w:rsidR="00D6203E" w:rsidRPr="00FB5604">
        <w:rPr>
          <w:rFonts w:ascii="Times New Roman" w:hAnsi="Times New Roman" w:cs="Times New Roman"/>
        </w:rPr>
        <w:t>considered</w:t>
      </w:r>
      <w:r w:rsidRPr="00FB5604">
        <w:rPr>
          <w:rFonts w:ascii="Times New Roman" w:hAnsi="Times New Roman" w:cs="Times New Roman"/>
        </w:rPr>
        <w:t xml:space="preserve"> that different political conditions have a substantial effect on the innovation policy of each member state. With different political perspectives and consequently considerations regarding how certain policymaking should be carried out, a standardised analysis of policies was attempted as opposed to a deeply individual-focused approach, although this may indicate additional micro-level results not covered by this study. Moreover, </w:t>
      </w:r>
      <w:proofErr w:type="gramStart"/>
      <w:r w:rsidRPr="00FB5604">
        <w:rPr>
          <w:rFonts w:ascii="Times New Roman" w:hAnsi="Times New Roman" w:cs="Times New Roman"/>
        </w:rPr>
        <w:t>due to the fact that</w:t>
      </w:r>
      <w:proofErr w:type="gramEnd"/>
      <w:r w:rsidRPr="00FB5604">
        <w:rPr>
          <w:rFonts w:ascii="Times New Roman" w:hAnsi="Times New Roman" w:cs="Times New Roman"/>
        </w:rPr>
        <w:t xml:space="preserve"> the energy sector remains a national asset and is only advised and coordinated to a limited degree at the European level, many states in Central Europe opt to focus on individual and hence less integrated strategies. As the production of energy is limited to a small number of key partners that are heavily invested in specific energy carriers and, as a result, have international dependencies from outside of Central Europe, certain negative effects of oligarchic market structures and entanglements of policymakers and businesses alike tend to reveal irrational strategic leadership or market irregularities on a certain scale. Due to their very different legal and historical backgrounds, it would have been difficult to compare these components' policymaking processes. On the Central European landscape, the question of emission-free and thus green energies is not satisfactorily answered, as many ecologically focused political parties tend to reject the use of nuclear energy as a viable alternative to green energy, whereas the European Union and member states dependent on nuclear energy accept and promote it.</w:t>
      </w:r>
    </w:p>
    <w:p w14:paraId="3EC69DA8" w14:textId="640A1221" w:rsidR="00FB5604" w:rsidRPr="00FB5604" w:rsidRDefault="00FB5604" w:rsidP="00D6203E">
      <w:pPr>
        <w:jc w:val="both"/>
        <w:rPr>
          <w:rFonts w:ascii="Times New Roman" w:hAnsi="Times New Roman" w:cs="Times New Roman"/>
        </w:rPr>
      </w:pPr>
      <w:r w:rsidRPr="00FB5604">
        <w:rPr>
          <w:rFonts w:ascii="Times New Roman" w:hAnsi="Times New Roman" w:cs="Times New Roman"/>
        </w:rPr>
        <w:t xml:space="preserve">Lastly, the element of decreased emissions must be examined throughout the whole supply chain, since just the emissions from point A to point B are now </w:t>
      </w:r>
      <w:proofErr w:type="gramStart"/>
      <w:r w:rsidRPr="00FB5604">
        <w:rPr>
          <w:rFonts w:ascii="Times New Roman" w:hAnsi="Times New Roman" w:cs="Times New Roman"/>
        </w:rPr>
        <w:t>taken into account</w:t>
      </w:r>
      <w:proofErr w:type="gramEnd"/>
      <w:r w:rsidRPr="00FB5604">
        <w:rPr>
          <w:rFonts w:ascii="Times New Roman" w:hAnsi="Times New Roman" w:cs="Times New Roman"/>
        </w:rPr>
        <w:t xml:space="preserve">. Additional resources and possibly shorter product lifetimes, as well </w:t>
      </w:r>
      <w:proofErr w:type="gramStart"/>
      <w:r w:rsidRPr="00FB5604">
        <w:rPr>
          <w:rFonts w:ascii="Times New Roman" w:hAnsi="Times New Roman" w:cs="Times New Roman"/>
        </w:rPr>
        <w:t>as yet</w:t>
      </w:r>
      <w:proofErr w:type="gramEnd"/>
      <w:r w:rsidRPr="00FB5604">
        <w:rPr>
          <w:rFonts w:ascii="Times New Roman" w:hAnsi="Times New Roman" w:cs="Times New Roman"/>
        </w:rPr>
        <w:t xml:space="preserve"> </w:t>
      </w:r>
      <w:r w:rsidR="000F299A" w:rsidRPr="00FB5604">
        <w:rPr>
          <w:rFonts w:ascii="Times New Roman" w:hAnsi="Times New Roman" w:cs="Times New Roman"/>
        </w:rPr>
        <w:t>non-existent</w:t>
      </w:r>
      <w:r w:rsidRPr="00FB5604">
        <w:rPr>
          <w:rFonts w:ascii="Times New Roman" w:hAnsi="Times New Roman" w:cs="Times New Roman"/>
        </w:rPr>
        <w:t xml:space="preserve"> circular economy components, are not taken into account.</w:t>
      </w:r>
    </w:p>
    <w:p w14:paraId="391D763A" w14:textId="435B89D0" w:rsidR="0066121F" w:rsidRDefault="00FB5604" w:rsidP="006C78A4">
      <w:pPr>
        <w:jc w:val="both"/>
        <w:rPr>
          <w:rFonts w:ascii="Times New Roman" w:hAnsi="Times New Roman" w:cs="Times New Roman"/>
        </w:rPr>
      </w:pPr>
      <w:r w:rsidRPr="00FB5604">
        <w:rPr>
          <w:rFonts w:ascii="Times New Roman" w:hAnsi="Times New Roman" w:cs="Times New Roman"/>
        </w:rPr>
        <w:t>Further empirical emphasis should thus be placed on, but not be limited to, prior-year data as well as other technical trends that may contribute to the success of the hydrogen energy industry.</w:t>
      </w:r>
    </w:p>
    <w:p w14:paraId="29C2B739" w14:textId="7F335928" w:rsidR="003D66E1" w:rsidRDefault="003D66E1" w:rsidP="00D6203E">
      <w:pPr>
        <w:jc w:val="both"/>
        <w:rPr>
          <w:rFonts w:ascii="Times New Roman" w:hAnsi="Times New Roman" w:cs="Times New Roman"/>
        </w:rPr>
      </w:pPr>
      <w:r>
        <w:rPr>
          <w:rFonts w:ascii="Times New Roman" w:hAnsi="Times New Roman" w:cs="Times New Roman"/>
        </w:rPr>
        <w:t>Parallel, each attribute of the OAM can also be interpreted as dependent variable (Y). This multi-layered interpretation</w:t>
      </w:r>
      <w:r w:rsidR="00204F00">
        <w:rPr>
          <w:rFonts w:ascii="Times New Roman" w:hAnsi="Times New Roman" w:cs="Times New Roman"/>
        </w:rPr>
        <w:t xml:space="preserve"> (incl. more years)</w:t>
      </w:r>
      <w:r>
        <w:rPr>
          <w:rFonts w:ascii="Times New Roman" w:hAnsi="Times New Roman" w:cs="Times New Roman"/>
        </w:rPr>
        <w:t xml:space="preserve"> will lead to an automated SWOT analyses and/or to a kind of data quality assurance where potential statistical errors can be derived.</w:t>
      </w:r>
    </w:p>
    <w:p w14:paraId="6DCDD2E4" w14:textId="59D7D8E8" w:rsidR="00256426" w:rsidRPr="00256426" w:rsidRDefault="00256426" w:rsidP="00D6203E">
      <w:pPr>
        <w:pStyle w:val="berschrift1"/>
        <w:jc w:val="both"/>
        <w:rPr>
          <w:rFonts w:ascii="Times New Roman" w:hAnsi="Times New Roman" w:cs="Times New Roman"/>
          <w:b/>
          <w:bCs/>
        </w:rPr>
      </w:pPr>
      <w:r w:rsidRPr="00256426">
        <w:rPr>
          <w:rFonts w:ascii="Times New Roman" w:hAnsi="Times New Roman" w:cs="Times New Roman"/>
          <w:b/>
          <w:bCs/>
        </w:rPr>
        <w:t xml:space="preserve">References </w:t>
      </w:r>
    </w:p>
    <w:p w14:paraId="7BE98579" w14:textId="77777777" w:rsidR="00256426" w:rsidRPr="00256426" w:rsidRDefault="00256426" w:rsidP="00D6203E">
      <w:pPr>
        <w:pStyle w:val="Literaturverzeichnis"/>
        <w:jc w:val="both"/>
        <w:rPr>
          <w:rFonts w:ascii="Times New Roman" w:hAnsi="Times New Roman" w:cs="Times New Roman"/>
        </w:rPr>
      </w:pPr>
      <w:r>
        <w:fldChar w:fldCharType="begin"/>
      </w:r>
      <w:r>
        <w:instrText xml:space="preserve"> ADDIN ZOTERO_BIBL {"uncited":[],"omitted":[],"custom":[]} CSL_BIBLIOGRAPHY </w:instrText>
      </w:r>
      <w:r>
        <w:fldChar w:fldCharType="separate"/>
      </w:r>
      <w:r w:rsidRPr="00256426">
        <w:rPr>
          <w:rFonts w:ascii="Times New Roman" w:hAnsi="Times New Roman" w:cs="Times New Roman"/>
        </w:rPr>
        <w:t xml:space="preserve">Acheampong, A. O., Dzator, J., Dzator, M., &amp; Salim, R. (2022). Unveiling the effect of transport infrastructure and technological innovation on economic growth, energy consumption and CO2 emissions. </w:t>
      </w:r>
      <w:r w:rsidRPr="00256426">
        <w:rPr>
          <w:rFonts w:ascii="Times New Roman" w:hAnsi="Times New Roman" w:cs="Times New Roman"/>
          <w:i/>
          <w:iCs/>
        </w:rPr>
        <w:t>Technological Forecasting and Social Change</w:t>
      </w:r>
      <w:r w:rsidRPr="00256426">
        <w:rPr>
          <w:rFonts w:ascii="Times New Roman" w:hAnsi="Times New Roman" w:cs="Times New Roman"/>
        </w:rPr>
        <w:t xml:space="preserve">, </w:t>
      </w:r>
      <w:r w:rsidRPr="00256426">
        <w:rPr>
          <w:rFonts w:ascii="Times New Roman" w:hAnsi="Times New Roman" w:cs="Times New Roman"/>
          <w:i/>
          <w:iCs/>
        </w:rPr>
        <w:t>182</w:t>
      </w:r>
      <w:r w:rsidRPr="00256426">
        <w:rPr>
          <w:rFonts w:ascii="Times New Roman" w:hAnsi="Times New Roman" w:cs="Times New Roman"/>
        </w:rPr>
        <w:t>, 121843. https://doi.org/10.1016/j.techfore.2022.121843</w:t>
      </w:r>
    </w:p>
    <w:p w14:paraId="48B277A8" w14:textId="77777777" w:rsidR="00256426" w:rsidRPr="00256426" w:rsidRDefault="00256426" w:rsidP="00D6203E">
      <w:pPr>
        <w:pStyle w:val="Literaturverzeichnis"/>
        <w:jc w:val="both"/>
        <w:rPr>
          <w:rFonts w:ascii="Times New Roman" w:hAnsi="Times New Roman" w:cs="Times New Roman"/>
        </w:rPr>
      </w:pPr>
      <w:r w:rsidRPr="00256426">
        <w:rPr>
          <w:rFonts w:ascii="Times New Roman" w:hAnsi="Times New Roman" w:cs="Times New Roman"/>
        </w:rPr>
        <w:t xml:space="preserve">Balsalobre-Lorente, D., Zeraibi, A., Shehzad, K., &amp; Cantos-Cantos, J. M. (2021). Taxes, R&amp;D Expenditures, and Open Innovation: Analyzing OECD Countries. </w:t>
      </w:r>
      <w:r w:rsidRPr="00256426">
        <w:rPr>
          <w:rFonts w:ascii="Times New Roman" w:hAnsi="Times New Roman" w:cs="Times New Roman"/>
          <w:i/>
          <w:iCs/>
        </w:rPr>
        <w:t>Journal of Open Innovation: Technology, Market, and Complexity</w:t>
      </w:r>
      <w:r w:rsidRPr="00256426">
        <w:rPr>
          <w:rFonts w:ascii="Times New Roman" w:hAnsi="Times New Roman" w:cs="Times New Roman"/>
        </w:rPr>
        <w:t xml:space="preserve">, </w:t>
      </w:r>
      <w:r w:rsidRPr="00256426">
        <w:rPr>
          <w:rFonts w:ascii="Times New Roman" w:hAnsi="Times New Roman" w:cs="Times New Roman"/>
          <w:i/>
          <w:iCs/>
        </w:rPr>
        <w:t>7</w:t>
      </w:r>
      <w:r w:rsidRPr="00256426">
        <w:rPr>
          <w:rFonts w:ascii="Times New Roman" w:hAnsi="Times New Roman" w:cs="Times New Roman"/>
        </w:rPr>
        <w:t>(1), 36. https://doi.org/10.3390/joitmc7010036</w:t>
      </w:r>
    </w:p>
    <w:p w14:paraId="01A535E3" w14:textId="77777777" w:rsidR="00256426" w:rsidRPr="00256426" w:rsidRDefault="00256426" w:rsidP="00D6203E">
      <w:pPr>
        <w:pStyle w:val="Literaturverzeichnis"/>
        <w:jc w:val="both"/>
        <w:rPr>
          <w:rFonts w:ascii="Times New Roman" w:hAnsi="Times New Roman" w:cs="Times New Roman"/>
        </w:rPr>
      </w:pPr>
      <w:r w:rsidRPr="00256426">
        <w:rPr>
          <w:rFonts w:ascii="Times New Roman" w:hAnsi="Times New Roman" w:cs="Times New Roman"/>
        </w:rPr>
        <w:t xml:space="preserve">Blume-Kohout, M. E., &amp; Sood, N. (2013). Market size and innovation: Effects of Medicare Part D on pharmaceutical research and development. </w:t>
      </w:r>
      <w:r w:rsidRPr="00256426">
        <w:rPr>
          <w:rFonts w:ascii="Times New Roman" w:hAnsi="Times New Roman" w:cs="Times New Roman"/>
          <w:i/>
          <w:iCs/>
        </w:rPr>
        <w:t>Journal of Public Economics</w:t>
      </w:r>
      <w:r w:rsidRPr="00256426">
        <w:rPr>
          <w:rFonts w:ascii="Times New Roman" w:hAnsi="Times New Roman" w:cs="Times New Roman"/>
        </w:rPr>
        <w:t xml:space="preserve">, </w:t>
      </w:r>
      <w:r w:rsidRPr="00256426">
        <w:rPr>
          <w:rFonts w:ascii="Times New Roman" w:hAnsi="Times New Roman" w:cs="Times New Roman"/>
          <w:i/>
          <w:iCs/>
        </w:rPr>
        <w:t>97</w:t>
      </w:r>
      <w:r w:rsidRPr="00256426">
        <w:rPr>
          <w:rFonts w:ascii="Times New Roman" w:hAnsi="Times New Roman" w:cs="Times New Roman"/>
        </w:rPr>
        <w:t>, 327–336. https://doi.org/10.1016/j.jpubeco.2012.10.003</w:t>
      </w:r>
    </w:p>
    <w:p w14:paraId="3A10EE60" w14:textId="77777777" w:rsidR="00256426" w:rsidRPr="00256426" w:rsidRDefault="00256426" w:rsidP="00D6203E">
      <w:pPr>
        <w:pStyle w:val="Literaturverzeichnis"/>
        <w:jc w:val="both"/>
        <w:rPr>
          <w:rFonts w:ascii="Times New Roman" w:hAnsi="Times New Roman" w:cs="Times New Roman"/>
        </w:rPr>
      </w:pPr>
      <w:r w:rsidRPr="00256426">
        <w:rPr>
          <w:rFonts w:ascii="Times New Roman" w:hAnsi="Times New Roman" w:cs="Times New Roman"/>
        </w:rPr>
        <w:t xml:space="preserve">Chen, C., Gu, J., &amp; Luo, R. (2022). Corporate innovation and R&amp;D expenditure disclosures. </w:t>
      </w:r>
      <w:r w:rsidRPr="00256426">
        <w:rPr>
          <w:rFonts w:ascii="Times New Roman" w:hAnsi="Times New Roman" w:cs="Times New Roman"/>
          <w:i/>
          <w:iCs/>
        </w:rPr>
        <w:t>Technological Forecasting and Social Change</w:t>
      </w:r>
      <w:r w:rsidRPr="00256426">
        <w:rPr>
          <w:rFonts w:ascii="Times New Roman" w:hAnsi="Times New Roman" w:cs="Times New Roman"/>
        </w:rPr>
        <w:t xml:space="preserve">, </w:t>
      </w:r>
      <w:r w:rsidRPr="00256426">
        <w:rPr>
          <w:rFonts w:ascii="Times New Roman" w:hAnsi="Times New Roman" w:cs="Times New Roman"/>
          <w:i/>
          <w:iCs/>
        </w:rPr>
        <w:t>174</w:t>
      </w:r>
      <w:r w:rsidRPr="00256426">
        <w:rPr>
          <w:rFonts w:ascii="Times New Roman" w:hAnsi="Times New Roman" w:cs="Times New Roman"/>
        </w:rPr>
        <w:t>, 121230. https://doi.org/10.1016/j.techfore.2021.121230</w:t>
      </w:r>
    </w:p>
    <w:p w14:paraId="3695B976" w14:textId="77777777" w:rsidR="00256426" w:rsidRPr="00256426" w:rsidRDefault="00256426" w:rsidP="00D6203E">
      <w:pPr>
        <w:pStyle w:val="Literaturverzeichnis"/>
        <w:jc w:val="both"/>
        <w:rPr>
          <w:rFonts w:ascii="Times New Roman" w:hAnsi="Times New Roman" w:cs="Times New Roman"/>
        </w:rPr>
      </w:pPr>
      <w:r w:rsidRPr="00256426">
        <w:rPr>
          <w:rFonts w:ascii="Times New Roman" w:hAnsi="Times New Roman" w:cs="Times New Roman"/>
        </w:rPr>
        <w:lastRenderedPageBreak/>
        <w:t xml:space="preserve">Durante, F., Gianfreda, A., Ravazzolo, F., &amp; Rossini, L. (2022). A multivariate dependence analysis for electricity prices, demand and renewable energy sources. </w:t>
      </w:r>
      <w:r w:rsidRPr="00256426">
        <w:rPr>
          <w:rFonts w:ascii="Times New Roman" w:hAnsi="Times New Roman" w:cs="Times New Roman"/>
          <w:i/>
          <w:iCs/>
        </w:rPr>
        <w:t>Information Sciences</w:t>
      </w:r>
      <w:r w:rsidRPr="00256426">
        <w:rPr>
          <w:rFonts w:ascii="Times New Roman" w:hAnsi="Times New Roman" w:cs="Times New Roman"/>
        </w:rPr>
        <w:t xml:space="preserve">, </w:t>
      </w:r>
      <w:r w:rsidRPr="00256426">
        <w:rPr>
          <w:rFonts w:ascii="Times New Roman" w:hAnsi="Times New Roman" w:cs="Times New Roman"/>
          <w:i/>
          <w:iCs/>
        </w:rPr>
        <w:t>590</w:t>
      </w:r>
      <w:r w:rsidRPr="00256426">
        <w:rPr>
          <w:rFonts w:ascii="Times New Roman" w:hAnsi="Times New Roman" w:cs="Times New Roman"/>
        </w:rPr>
        <w:t>, 74–89. https://doi.org/10.1016/j.ins.2022.01.003</w:t>
      </w:r>
    </w:p>
    <w:p w14:paraId="28F8A7FB" w14:textId="77777777" w:rsidR="00256426" w:rsidRPr="00256426" w:rsidRDefault="00256426" w:rsidP="00D6203E">
      <w:pPr>
        <w:pStyle w:val="Literaturverzeichnis"/>
        <w:jc w:val="both"/>
        <w:rPr>
          <w:rFonts w:ascii="Times New Roman" w:hAnsi="Times New Roman" w:cs="Times New Roman"/>
        </w:rPr>
      </w:pPr>
      <w:r w:rsidRPr="00256426">
        <w:rPr>
          <w:rFonts w:ascii="Times New Roman" w:hAnsi="Times New Roman" w:cs="Times New Roman"/>
        </w:rPr>
        <w:t xml:space="preserve">Frondel, M., &amp; Schubert, S. A. (2021). Carbon pricing in Germany’s road transport and housing sector: Options for reimbursing carbon revenues. </w:t>
      </w:r>
      <w:r w:rsidRPr="00256426">
        <w:rPr>
          <w:rFonts w:ascii="Times New Roman" w:hAnsi="Times New Roman" w:cs="Times New Roman"/>
          <w:i/>
          <w:iCs/>
        </w:rPr>
        <w:t>Energy Policy</w:t>
      </w:r>
      <w:r w:rsidRPr="00256426">
        <w:rPr>
          <w:rFonts w:ascii="Times New Roman" w:hAnsi="Times New Roman" w:cs="Times New Roman"/>
        </w:rPr>
        <w:t xml:space="preserve">, </w:t>
      </w:r>
      <w:r w:rsidRPr="00256426">
        <w:rPr>
          <w:rFonts w:ascii="Times New Roman" w:hAnsi="Times New Roman" w:cs="Times New Roman"/>
          <w:i/>
          <w:iCs/>
        </w:rPr>
        <w:t>157</w:t>
      </w:r>
      <w:r w:rsidRPr="00256426">
        <w:rPr>
          <w:rFonts w:ascii="Times New Roman" w:hAnsi="Times New Roman" w:cs="Times New Roman"/>
        </w:rPr>
        <w:t>, 112471. https://doi.org/10.1016/j.enpol.2021.112471</w:t>
      </w:r>
    </w:p>
    <w:p w14:paraId="6650FFEE" w14:textId="77777777" w:rsidR="00256426" w:rsidRPr="00256426" w:rsidRDefault="00256426" w:rsidP="00D6203E">
      <w:pPr>
        <w:pStyle w:val="Literaturverzeichnis"/>
        <w:jc w:val="both"/>
        <w:rPr>
          <w:rFonts w:ascii="Times New Roman" w:hAnsi="Times New Roman" w:cs="Times New Roman"/>
        </w:rPr>
      </w:pPr>
      <w:r w:rsidRPr="00256426">
        <w:rPr>
          <w:rFonts w:ascii="Times New Roman" w:hAnsi="Times New Roman" w:cs="Times New Roman"/>
        </w:rPr>
        <w:t xml:space="preserve">Gordon, J. A., Balta-Ozkan, N., &amp; Nabavi, S. A. (2022). Homes of the future: Unpacking public perceptions to power the domestic hydrogen transition. </w:t>
      </w:r>
      <w:r w:rsidRPr="00256426">
        <w:rPr>
          <w:rFonts w:ascii="Times New Roman" w:hAnsi="Times New Roman" w:cs="Times New Roman"/>
          <w:i/>
          <w:iCs/>
        </w:rPr>
        <w:t>Renewable and Sustainable Energy Reviews</w:t>
      </w:r>
      <w:r w:rsidRPr="00256426">
        <w:rPr>
          <w:rFonts w:ascii="Times New Roman" w:hAnsi="Times New Roman" w:cs="Times New Roman"/>
        </w:rPr>
        <w:t xml:space="preserve">, </w:t>
      </w:r>
      <w:r w:rsidRPr="00256426">
        <w:rPr>
          <w:rFonts w:ascii="Times New Roman" w:hAnsi="Times New Roman" w:cs="Times New Roman"/>
          <w:i/>
          <w:iCs/>
        </w:rPr>
        <w:t>164</w:t>
      </w:r>
      <w:r w:rsidRPr="00256426">
        <w:rPr>
          <w:rFonts w:ascii="Times New Roman" w:hAnsi="Times New Roman" w:cs="Times New Roman"/>
        </w:rPr>
        <w:t>, 112481. https://doi.org/10.1016/j.rser.2022.112481</w:t>
      </w:r>
    </w:p>
    <w:p w14:paraId="4C772CB2" w14:textId="77777777" w:rsidR="00256426" w:rsidRPr="00256426" w:rsidRDefault="00256426" w:rsidP="00D6203E">
      <w:pPr>
        <w:pStyle w:val="Literaturverzeichnis"/>
        <w:jc w:val="both"/>
        <w:rPr>
          <w:rFonts w:ascii="Times New Roman" w:hAnsi="Times New Roman" w:cs="Times New Roman"/>
        </w:rPr>
      </w:pPr>
      <w:r w:rsidRPr="00256426">
        <w:rPr>
          <w:rFonts w:ascii="Times New Roman" w:hAnsi="Times New Roman" w:cs="Times New Roman"/>
        </w:rPr>
        <w:t xml:space="preserve">Hermosilla, M., &amp; Wu, Y. (2018). Market size and innovation: The intermediary role of technology licensing. </w:t>
      </w:r>
      <w:r w:rsidRPr="00256426">
        <w:rPr>
          <w:rFonts w:ascii="Times New Roman" w:hAnsi="Times New Roman" w:cs="Times New Roman"/>
          <w:i/>
          <w:iCs/>
        </w:rPr>
        <w:t>Research Policy</w:t>
      </w:r>
      <w:r w:rsidRPr="00256426">
        <w:rPr>
          <w:rFonts w:ascii="Times New Roman" w:hAnsi="Times New Roman" w:cs="Times New Roman"/>
        </w:rPr>
        <w:t xml:space="preserve">, </w:t>
      </w:r>
      <w:r w:rsidRPr="00256426">
        <w:rPr>
          <w:rFonts w:ascii="Times New Roman" w:hAnsi="Times New Roman" w:cs="Times New Roman"/>
          <w:i/>
          <w:iCs/>
        </w:rPr>
        <w:t>47</w:t>
      </w:r>
      <w:r w:rsidRPr="00256426">
        <w:rPr>
          <w:rFonts w:ascii="Times New Roman" w:hAnsi="Times New Roman" w:cs="Times New Roman"/>
        </w:rPr>
        <w:t>(5), 980–991. https://doi.org/10.1016/j.respol.2018.03.003</w:t>
      </w:r>
    </w:p>
    <w:p w14:paraId="12FA7D56" w14:textId="77777777" w:rsidR="00256426" w:rsidRPr="00256426" w:rsidRDefault="00256426" w:rsidP="00D6203E">
      <w:pPr>
        <w:pStyle w:val="Literaturverzeichnis"/>
        <w:jc w:val="both"/>
        <w:rPr>
          <w:rFonts w:ascii="Times New Roman" w:hAnsi="Times New Roman" w:cs="Times New Roman"/>
        </w:rPr>
      </w:pPr>
      <w:r w:rsidRPr="00256426">
        <w:rPr>
          <w:rFonts w:ascii="Times New Roman" w:hAnsi="Times New Roman" w:cs="Times New Roman"/>
        </w:rPr>
        <w:t xml:space="preserve">Lozano, L. L., Bharadwaj, B., de Sales, A., Kambo, A., &amp; Ashworth, P. (2022). Societal acceptance of hydrogen for domestic and export applications in Australia. </w:t>
      </w:r>
      <w:r w:rsidRPr="00256426">
        <w:rPr>
          <w:rFonts w:ascii="Times New Roman" w:hAnsi="Times New Roman" w:cs="Times New Roman"/>
          <w:i/>
          <w:iCs/>
        </w:rPr>
        <w:t>International Journal of Hydrogen Energy</w:t>
      </w:r>
      <w:r w:rsidRPr="00256426">
        <w:rPr>
          <w:rFonts w:ascii="Times New Roman" w:hAnsi="Times New Roman" w:cs="Times New Roman"/>
        </w:rPr>
        <w:t xml:space="preserve">, </w:t>
      </w:r>
      <w:r w:rsidRPr="00256426">
        <w:rPr>
          <w:rFonts w:ascii="Times New Roman" w:hAnsi="Times New Roman" w:cs="Times New Roman"/>
          <w:i/>
          <w:iCs/>
        </w:rPr>
        <w:t>47</w:t>
      </w:r>
      <w:r w:rsidRPr="00256426">
        <w:rPr>
          <w:rFonts w:ascii="Times New Roman" w:hAnsi="Times New Roman" w:cs="Times New Roman"/>
        </w:rPr>
        <w:t>(67), 28806–28818. https://doi.org/10.1016/j.ijhydene.2022.06.209</w:t>
      </w:r>
    </w:p>
    <w:p w14:paraId="2EA70976" w14:textId="77777777" w:rsidR="00256426" w:rsidRPr="00256426" w:rsidRDefault="00256426" w:rsidP="00D6203E">
      <w:pPr>
        <w:pStyle w:val="Literaturverzeichnis"/>
        <w:jc w:val="both"/>
        <w:rPr>
          <w:rFonts w:ascii="Times New Roman" w:hAnsi="Times New Roman" w:cs="Times New Roman"/>
        </w:rPr>
      </w:pPr>
      <w:r w:rsidRPr="00256426">
        <w:rPr>
          <w:rFonts w:ascii="Times New Roman" w:hAnsi="Times New Roman" w:cs="Times New Roman"/>
        </w:rPr>
        <w:t xml:space="preserve">Macedo, D. P., Marques, A. C., &amp; Damette, O. (2022). The role of electricity flows and renewable electricity production in the behaviour of electricity prices in Spain. </w:t>
      </w:r>
      <w:r w:rsidRPr="00256426">
        <w:rPr>
          <w:rFonts w:ascii="Times New Roman" w:hAnsi="Times New Roman" w:cs="Times New Roman"/>
          <w:i/>
          <w:iCs/>
        </w:rPr>
        <w:t>Economic Analysis and Policy</w:t>
      </w:r>
      <w:r w:rsidRPr="00256426">
        <w:rPr>
          <w:rFonts w:ascii="Times New Roman" w:hAnsi="Times New Roman" w:cs="Times New Roman"/>
        </w:rPr>
        <w:t xml:space="preserve">, </w:t>
      </w:r>
      <w:r w:rsidRPr="00256426">
        <w:rPr>
          <w:rFonts w:ascii="Times New Roman" w:hAnsi="Times New Roman" w:cs="Times New Roman"/>
          <w:i/>
          <w:iCs/>
        </w:rPr>
        <w:t>76</w:t>
      </w:r>
      <w:r w:rsidRPr="00256426">
        <w:rPr>
          <w:rFonts w:ascii="Times New Roman" w:hAnsi="Times New Roman" w:cs="Times New Roman"/>
        </w:rPr>
        <w:t>, 885–900. https://doi.org/10.1016/j.eap.2022.10.001</w:t>
      </w:r>
    </w:p>
    <w:p w14:paraId="5922B6B4" w14:textId="77777777" w:rsidR="00256426" w:rsidRPr="00256426" w:rsidRDefault="00256426" w:rsidP="00D6203E">
      <w:pPr>
        <w:pStyle w:val="Literaturverzeichnis"/>
        <w:jc w:val="both"/>
        <w:rPr>
          <w:rFonts w:ascii="Times New Roman" w:hAnsi="Times New Roman" w:cs="Times New Roman"/>
        </w:rPr>
      </w:pPr>
      <w:r w:rsidRPr="00256426">
        <w:rPr>
          <w:rFonts w:ascii="Times New Roman" w:hAnsi="Times New Roman" w:cs="Times New Roman"/>
        </w:rPr>
        <w:t xml:space="preserve">Naeem, M. A., Appiah, M., Karim, S., &amp; Yarovaya, L. (2023). What abates environmental efficiency in African economies? Exploring the influence of infrastructure, industrialization, and innovation. </w:t>
      </w:r>
      <w:r w:rsidRPr="00256426">
        <w:rPr>
          <w:rFonts w:ascii="Times New Roman" w:hAnsi="Times New Roman" w:cs="Times New Roman"/>
          <w:i/>
          <w:iCs/>
        </w:rPr>
        <w:t>Technological Forecasting and Social Change</w:t>
      </w:r>
      <w:r w:rsidRPr="00256426">
        <w:rPr>
          <w:rFonts w:ascii="Times New Roman" w:hAnsi="Times New Roman" w:cs="Times New Roman"/>
        </w:rPr>
        <w:t xml:space="preserve">, </w:t>
      </w:r>
      <w:r w:rsidRPr="00256426">
        <w:rPr>
          <w:rFonts w:ascii="Times New Roman" w:hAnsi="Times New Roman" w:cs="Times New Roman"/>
          <w:i/>
          <w:iCs/>
        </w:rPr>
        <w:t>186</w:t>
      </w:r>
      <w:r w:rsidRPr="00256426">
        <w:rPr>
          <w:rFonts w:ascii="Times New Roman" w:hAnsi="Times New Roman" w:cs="Times New Roman"/>
        </w:rPr>
        <w:t>, 122172. https://doi.org/10.1016/j.techfore.2022.122172</w:t>
      </w:r>
    </w:p>
    <w:p w14:paraId="23C7F221" w14:textId="77777777" w:rsidR="00256426" w:rsidRPr="00D6203E" w:rsidRDefault="00256426" w:rsidP="00D6203E">
      <w:pPr>
        <w:pStyle w:val="Literaturverzeichnis"/>
        <w:jc w:val="both"/>
        <w:rPr>
          <w:rFonts w:ascii="Times New Roman" w:hAnsi="Times New Roman" w:cs="Times New Roman"/>
          <w:lang w:val="de-DE"/>
        </w:rPr>
      </w:pPr>
      <w:r w:rsidRPr="00D6203E">
        <w:rPr>
          <w:rFonts w:ascii="Times New Roman" w:hAnsi="Times New Roman" w:cs="Times New Roman"/>
          <w:lang w:val="de-DE"/>
        </w:rPr>
        <w:t xml:space="preserve">Pitlik, L., &amp; Csizmadia, S. (2021). </w:t>
      </w:r>
      <w:r w:rsidRPr="00D6203E">
        <w:rPr>
          <w:rFonts w:ascii="Times New Roman" w:hAnsi="Times New Roman" w:cs="Times New Roman"/>
          <w:i/>
          <w:iCs/>
          <w:lang w:val="de-DE"/>
        </w:rPr>
        <w:t>Wo lebt sich am besten in Europa?</w:t>
      </w:r>
      <w:r w:rsidRPr="00D6203E">
        <w:rPr>
          <w:rFonts w:ascii="Times New Roman" w:hAnsi="Times New Roman" w:cs="Times New Roman"/>
          <w:lang w:val="de-DE"/>
        </w:rPr>
        <w:t xml:space="preserve"> https://miau.my-x.hu/miau/276/kje/eu/Szilvia%20Csizmadia%20KJO0IX%20Ranking%20EU.pdf</w:t>
      </w:r>
    </w:p>
    <w:p w14:paraId="48A0B48E" w14:textId="77777777" w:rsidR="00256426" w:rsidRPr="00256426" w:rsidRDefault="00256426" w:rsidP="00D6203E">
      <w:pPr>
        <w:pStyle w:val="Literaturverzeichnis"/>
        <w:jc w:val="both"/>
        <w:rPr>
          <w:rFonts w:ascii="Times New Roman" w:hAnsi="Times New Roman" w:cs="Times New Roman"/>
        </w:rPr>
      </w:pPr>
      <w:r w:rsidRPr="00256426">
        <w:rPr>
          <w:rFonts w:ascii="Times New Roman" w:hAnsi="Times New Roman" w:cs="Times New Roman"/>
        </w:rPr>
        <w:t xml:space="preserve">Pitlik L., Rácz Z., Learning Innovation Kft, &amp; MY-X-team. (2020). </w:t>
      </w:r>
      <w:r w:rsidRPr="00256426">
        <w:rPr>
          <w:rFonts w:ascii="Times New Roman" w:hAnsi="Times New Roman" w:cs="Times New Roman"/>
          <w:i/>
          <w:iCs/>
        </w:rPr>
        <w:t>Az ADIDAS-történet robotszemmel – avagy a validáció új aspektusai a hasonlóságelemzésben</w:t>
      </w:r>
      <w:r w:rsidRPr="00256426">
        <w:rPr>
          <w:rFonts w:ascii="Times New Roman" w:hAnsi="Times New Roman" w:cs="Times New Roman"/>
        </w:rPr>
        <w:t>. https://miau.my-x.hu/miau/273/adidas_story.pdf</w:t>
      </w:r>
    </w:p>
    <w:p w14:paraId="583B79E3" w14:textId="77777777" w:rsidR="00256426" w:rsidRPr="00D6203E" w:rsidRDefault="00256426" w:rsidP="00D6203E">
      <w:pPr>
        <w:pStyle w:val="Literaturverzeichnis"/>
        <w:jc w:val="both"/>
        <w:rPr>
          <w:rFonts w:ascii="Times New Roman" w:hAnsi="Times New Roman" w:cs="Times New Roman"/>
          <w:lang w:val="de-DE"/>
        </w:rPr>
      </w:pPr>
      <w:r w:rsidRPr="00256426">
        <w:rPr>
          <w:rFonts w:ascii="Times New Roman" w:hAnsi="Times New Roman" w:cs="Times New Roman"/>
        </w:rPr>
        <w:t xml:space="preserve">Solarin, S. A., Bello, M. O., &amp; Tiwari, A. K. (2022). The impact of technological innovation on renewable energy production: Accounting for the roles of economic and environmental factors </w:t>
      </w:r>
      <w:r w:rsidRPr="00256426">
        <w:rPr>
          <w:rFonts w:ascii="Times New Roman" w:hAnsi="Times New Roman" w:cs="Times New Roman"/>
        </w:rPr>
        <w:lastRenderedPageBreak/>
        <w:t xml:space="preserve">using a method of moments quantile regression. </w:t>
      </w:r>
      <w:r w:rsidRPr="00D6203E">
        <w:rPr>
          <w:rFonts w:ascii="Times New Roman" w:hAnsi="Times New Roman" w:cs="Times New Roman"/>
          <w:i/>
          <w:iCs/>
          <w:lang w:val="de-DE"/>
        </w:rPr>
        <w:t>Heliyon</w:t>
      </w:r>
      <w:r w:rsidRPr="00D6203E">
        <w:rPr>
          <w:rFonts w:ascii="Times New Roman" w:hAnsi="Times New Roman" w:cs="Times New Roman"/>
          <w:lang w:val="de-DE"/>
        </w:rPr>
        <w:t xml:space="preserve">, </w:t>
      </w:r>
      <w:r w:rsidRPr="00D6203E">
        <w:rPr>
          <w:rFonts w:ascii="Times New Roman" w:hAnsi="Times New Roman" w:cs="Times New Roman"/>
          <w:i/>
          <w:iCs/>
          <w:lang w:val="de-DE"/>
        </w:rPr>
        <w:t>8</w:t>
      </w:r>
      <w:r w:rsidRPr="00D6203E">
        <w:rPr>
          <w:rFonts w:ascii="Times New Roman" w:hAnsi="Times New Roman" w:cs="Times New Roman"/>
          <w:lang w:val="de-DE"/>
        </w:rPr>
        <w:t>(7), e09913. https://doi.org/10.1016/j.heliyon.2022.e09913</w:t>
      </w:r>
    </w:p>
    <w:p w14:paraId="7CBFCC2F" w14:textId="77777777" w:rsidR="00256426" w:rsidRPr="00256426" w:rsidRDefault="00256426" w:rsidP="00D6203E">
      <w:pPr>
        <w:pStyle w:val="Literaturverzeichnis"/>
        <w:jc w:val="both"/>
        <w:rPr>
          <w:rFonts w:ascii="Times New Roman" w:hAnsi="Times New Roman" w:cs="Times New Roman"/>
        </w:rPr>
      </w:pPr>
      <w:r w:rsidRPr="00D6203E">
        <w:rPr>
          <w:rFonts w:ascii="Times New Roman" w:hAnsi="Times New Roman" w:cs="Times New Roman"/>
          <w:lang w:val="de-DE"/>
        </w:rPr>
        <w:t xml:space="preserve">Wei, L., Lin, B., Zheng, Z., Wu, W., &amp; Zhou, Y. (2023). </w:t>
      </w:r>
      <w:r w:rsidRPr="00256426">
        <w:rPr>
          <w:rFonts w:ascii="Times New Roman" w:hAnsi="Times New Roman" w:cs="Times New Roman"/>
        </w:rPr>
        <w:t xml:space="preserve">Does fiscal expenditure promote green technological innovation in China? Evidence from Chinese cities. </w:t>
      </w:r>
      <w:r w:rsidRPr="00256426">
        <w:rPr>
          <w:rFonts w:ascii="Times New Roman" w:hAnsi="Times New Roman" w:cs="Times New Roman"/>
          <w:i/>
          <w:iCs/>
        </w:rPr>
        <w:t>Environmental Impact Assessment Review</w:t>
      </w:r>
      <w:r w:rsidRPr="00256426">
        <w:rPr>
          <w:rFonts w:ascii="Times New Roman" w:hAnsi="Times New Roman" w:cs="Times New Roman"/>
        </w:rPr>
        <w:t xml:space="preserve">, </w:t>
      </w:r>
      <w:r w:rsidRPr="00256426">
        <w:rPr>
          <w:rFonts w:ascii="Times New Roman" w:hAnsi="Times New Roman" w:cs="Times New Roman"/>
          <w:i/>
          <w:iCs/>
        </w:rPr>
        <w:t>98</w:t>
      </w:r>
      <w:r w:rsidRPr="00256426">
        <w:rPr>
          <w:rFonts w:ascii="Times New Roman" w:hAnsi="Times New Roman" w:cs="Times New Roman"/>
        </w:rPr>
        <w:t>, 106945. https://doi.org/10.1016/j.eiar.2022.106945</w:t>
      </w:r>
    </w:p>
    <w:p w14:paraId="1A944B7F" w14:textId="3AFC68BB" w:rsidR="00256426" w:rsidRDefault="00256426" w:rsidP="00D6203E">
      <w:pPr>
        <w:jc w:val="both"/>
        <w:rPr>
          <w:rFonts w:ascii="Times New Roman" w:hAnsi="Times New Roman" w:cs="Times New Roman"/>
        </w:rPr>
      </w:pPr>
      <w:r>
        <w:rPr>
          <w:rFonts w:ascii="Times New Roman" w:hAnsi="Times New Roman" w:cs="Times New Roman"/>
        </w:rPr>
        <w:fldChar w:fldCharType="end"/>
      </w:r>
    </w:p>
    <w:p w14:paraId="52CC55F2" w14:textId="77777777" w:rsidR="00256426" w:rsidRDefault="00256426" w:rsidP="00D6203E">
      <w:pPr>
        <w:jc w:val="both"/>
        <w:rPr>
          <w:rFonts w:ascii="Times New Roman" w:hAnsi="Times New Roman" w:cs="Times New Roman"/>
        </w:rPr>
      </w:pPr>
    </w:p>
    <w:p w14:paraId="128CB51A" w14:textId="77777777" w:rsidR="00256426" w:rsidRDefault="00256426" w:rsidP="00D6203E">
      <w:pPr>
        <w:jc w:val="both"/>
        <w:rPr>
          <w:rFonts w:ascii="Times New Roman" w:hAnsi="Times New Roman" w:cs="Times New Roman"/>
        </w:rPr>
      </w:pPr>
    </w:p>
    <w:p w14:paraId="65161691" w14:textId="77777777" w:rsidR="00256426" w:rsidRDefault="00256426" w:rsidP="00D6203E">
      <w:pPr>
        <w:jc w:val="both"/>
        <w:rPr>
          <w:rFonts w:ascii="Times New Roman" w:hAnsi="Times New Roman" w:cs="Times New Roman"/>
        </w:rPr>
      </w:pPr>
    </w:p>
    <w:p w14:paraId="3214E2E8" w14:textId="77777777" w:rsidR="00256426" w:rsidRDefault="00256426" w:rsidP="00D6203E">
      <w:pPr>
        <w:jc w:val="both"/>
        <w:rPr>
          <w:rFonts w:ascii="Times New Roman" w:hAnsi="Times New Roman" w:cs="Times New Roman"/>
        </w:rPr>
      </w:pPr>
    </w:p>
    <w:p w14:paraId="66FA7B7A" w14:textId="77777777" w:rsidR="00256426" w:rsidRDefault="00256426" w:rsidP="00D6203E">
      <w:pPr>
        <w:jc w:val="both"/>
        <w:rPr>
          <w:rFonts w:ascii="Times New Roman" w:hAnsi="Times New Roman" w:cs="Times New Roman"/>
        </w:rPr>
      </w:pPr>
    </w:p>
    <w:p w14:paraId="2340A88A" w14:textId="77777777" w:rsidR="00256426" w:rsidRDefault="00256426" w:rsidP="00D6203E">
      <w:pPr>
        <w:jc w:val="both"/>
        <w:rPr>
          <w:rFonts w:ascii="Times New Roman" w:hAnsi="Times New Roman" w:cs="Times New Roman"/>
        </w:rPr>
      </w:pPr>
    </w:p>
    <w:p w14:paraId="2F8CD3C8" w14:textId="77777777" w:rsidR="00256426" w:rsidRDefault="00256426" w:rsidP="00D6203E">
      <w:pPr>
        <w:jc w:val="both"/>
        <w:rPr>
          <w:rFonts w:ascii="Times New Roman" w:hAnsi="Times New Roman" w:cs="Times New Roman"/>
        </w:rPr>
      </w:pPr>
    </w:p>
    <w:p w14:paraId="0C056A6A" w14:textId="77777777" w:rsidR="00256426" w:rsidRDefault="00256426" w:rsidP="00D6203E">
      <w:pPr>
        <w:jc w:val="both"/>
        <w:rPr>
          <w:rFonts w:ascii="Times New Roman" w:hAnsi="Times New Roman" w:cs="Times New Roman"/>
        </w:rPr>
      </w:pPr>
    </w:p>
    <w:p w14:paraId="39152622" w14:textId="77777777" w:rsidR="00256426" w:rsidRDefault="00256426" w:rsidP="00D6203E">
      <w:pPr>
        <w:jc w:val="both"/>
        <w:rPr>
          <w:rFonts w:ascii="Times New Roman" w:hAnsi="Times New Roman" w:cs="Times New Roman"/>
        </w:rPr>
      </w:pPr>
    </w:p>
    <w:p w14:paraId="60EF0356" w14:textId="77777777" w:rsidR="00256426" w:rsidRDefault="00256426" w:rsidP="00D6203E">
      <w:pPr>
        <w:jc w:val="both"/>
        <w:rPr>
          <w:rFonts w:ascii="Times New Roman" w:hAnsi="Times New Roman" w:cs="Times New Roman"/>
        </w:rPr>
      </w:pPr>
    </w:p>
    <w:p w14:paraId="16155BC0" w14:textId="77777777" w:rsidR="00256426" w:rsidRPr="00EB6BBC" w:rsidRDefault="00256426" w:rsidP="00D6203E">
      <w:pPr>
        <w:jc w:val="both"/>
        <w:rPr>
          <w:rFonts w:ascii="Times New Roman" w:hAnsi="Times New Roman" w:cs="Times New Roman"/>
        </w:rPr>
      </w:pPr>
    </w:p>
    <w:sectPr w:rsidR="00256426" w:rsidRPr="00EB6BBC" w:rsidSect="002968A0">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549E" w14:textId="77777777" w:rsidR="003D74CE" w:rsidRDefault="003D74CE" w:rsidP="002F03B8">
      <w:pPr>
        <w:spacing w:after="0" w:line="240" w:lineRule="auto"/>
      </w:pPr>
      <w:r>
        <w:separator/>
      </w:r>
    </w:p>
  </w:endnote>
  <w:endnote w:type="continuationSeparator" w:id="0">
    <w:p w14:paraId="3EDD0037" w14:textId="77777777" w:rsidR="003D74CE" w:rsidRDefault="003D74CE" w:rsidP="002F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9DDC" w14:textId="77777777" w:rsidR="003D74CE" w:rsidRDefault="003D74CE" w:rsidP="002F03B8">
      <w:pPr>
        <w:spacing w:after="0" w:line="240" w:lineRule="auto"/>
      </w:pPr>
      <w:r>
        <w:separator/>
      </w:r>
    </w:p>
  </w:footnote>
  <w:footnote w:type="continuationSeparator" w:id="0">
    <w:p w14:paraId="622D96BF" w14:textId="77777777" w:rsidR="003D74CE" w:rsidRDefault="003D74CE" w:rsidP="002F0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BA9"/>
    <w:multiLevelType w:val="hybridMultilevel"/>
    <w:tmpl w:val="1B781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669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96"/>
    <w:rsid w:val="00013DFA"/>
    <w:rsid w:val="00020EB1"/>
    <w:rsid w:val="000218A0"/>
    <w:rsid w:val="000261D3"/>
    <w:rsid w:val="00027601"/>
    <w:rsid w:val="000303F4"/>
    <w:rsid w:val="00037427"/>
    <w:rsid w:val="00042E3F"/>
    <w:rsid w:val="00066C14"/>
    <w:rsid w:val="00094555"/>
    <w:rsid w:val="000B7C63"/>
    <w:rsid w:val="000E0286"/>
    <w:rsid w:val="000E08B7"/>
    <w:rsid w:val="000F299A"/>
    <w:rsid w:val="0010643E"/>
    <w:rsid w:val="0010704D"/>
    <w:rsid w:val="001229E5"/>
    <w:rsid w:val="00125663"/>
    <w:rsid w:val="0013145D"/>
    <w:rsid w:val="00134A8D"/>
    <w:rsid w:val="00135647"/>
    <w:rsid w:val="001372F2"/>
    <w:rsid w:val="001405BC"/>
    <w:rsid w:val="001542D4"/>
    <w:rsid w:val="00171C17"/>
    <w:rsid w:val="0017237B"/>
    <w:rsid w:val="0017333C"/>
    <w:rsid w:val="001773C2"/>
    <w:rsid w:val="00182DA8"/>
    <w:rsid w:val="0019043C"/>
    <w:rsid w:val="001924C9"/>
    <w:rsid w:val="001D3478"/>
    <w:rsid w:val="001D347A"/>
    <w:rsid w:val="002027DE"/>
    <w:rsid w:val="00203B3D"/>
    <w:rsid w:val="00204F00"/>
    <w:rsid w:val="00207790"/>
    <w:rsid w:val="00210FDE"/>
    <w:rsid w:val="0022386D"/>
    <w:rsid w:val="002270B0"/>
    <w:rsid w:val="00227416"/>
    <w:rsid w:val="00230FFE"/>
    <w:rsid w:val="00237DCC"/>
    <w:rsid w:val="00252B2C"/>
    <w:rsid w:val="00256426"/>
    <w:rsid w:val="002815CB"/>
    <w:rsid w:val="00292A5F"/>
    <w:rsid w:val="002968A0"/>
    <w:rsid w:val="002A2910"/>
    <w:rsid w:val="002A3AC1"/>
    <w:rsid w:val="002A60A9"/>
    <w:rsid w:val="002B0010"/>
    <w:rsid w:val="002E434A"/>
    <w:rsid w:val="002F03B8"/>
    <w:rsid w:val="002F2DEE"/>
    <w:rsid w:val="003020B9"/>
    <w:rsid w:val="00306715"/>
    <w:rsid w:val="00310407"/>
    <w:rsid w:val="00331FCA"/>
    <w:rsid w:val="00340D0F"/>
    <w:rsid w:val="0034451B"/>
    <w:rsid w:val="003448A0"/>
    <w:rsid w:val="0035276E"/>
    <w:rsid w:val="00353E4C"/>
    <w:rsid w:val="003844F3"/>
    <w:rsid w:val="00387E4E"/>
    <w:rsid w:val="00391C03"/>
    <w:rsid w:val="003A4C93"/>
    <w:rsid w:val="003A546C"/>
    <w:rsid w:val="003B43AB"/>
    <w:rsid w:val="003B77EF"/>
    <w:rsid w:val="003C14B0"/>
    <w:rsid w:val="003C2AD6"/>
    <w:rsid w:val="003C7D50"/>
    <w:rsid w:val="003C7FAA"/>
    <w:rsid w:val="003D064F"/>
    <w:rsid w:val="003D66E1"/>
    <w:rsid w:val="003D74CE"/>
    <w:rsid w:val="00403E05"/>
    <w:rsid w:val="00404398"/>
    <w:rsid w:val="00410A64"/>
    <w:rsid w:val="00417F0D"/>
    <w:rsid w:val="004221F3"/>
    <w:rsid w:val="0042515C"/>
    <w:rsid w:val="004271FC"/>
    <w:rsid w:val="00437A0A"/>
    <w:rsid w:val="004563F2"/>
    <w:rsid w:val="004657D3"/>
    <w:rsid w:val="0047205D"/>
    <w:rsid w:val="00476993"/>
    <w:rsid w:val="004831DC"/>
    <w:rsid w:val="00485CD8"/>
    <w:rsid w:val="00493023"/>
    <w:rsid w:val="00495391"/>
    <w:rsid w:val="004D14E7"/>
    <w:rsid w:val="004E1B4C"/>
    <w:rsid w:val="004E40A4"/>
    <w:rsid w:val="004F1732"/>
    <w:rsid w:val="004F6CED"/>
    <w:rsid w:val="00507617"/>
    <w:rsid w:val="00520840"/>
    <w:rsid w:val="005213F0"/>
    <w:rsid w:val="00521C7B"/>
    <w:rsid w:val="00526A3F"/>
    <w:rsid w:val="00532F76"/>
    <w:rsid w:val="00533990"/>
    <w:rsid w:val="005363BB"/>
    <w:rsid w:val="005478B4"/>
    <w:rsid w:val="005512D0"/>
    <w:rsid w:val="005563C8"/>
    <w:rsid w:val="00573157"/>
    <w:rsid w:val="005956DB"/>
    <w:rsid w:val="00597E81"/>
    <w:rsid w:val="005A2B87"/>
    <w:rsid w:val="005A5504"/>
    <w:rsid w:val="005B2CB5"/>
    <w:rsid w:val="005C03E0"/>
    <w:rsid w:val="005C0D0F"/>
    <w:rsid w:val="005D1D25"/>
    <w:rsid w:val="005E236A"/>
    <w:rsid w:val="005E79B9"/>
    <w:rsid w:val="005F4E9F"/>
    <w:rsid w:val="00604EDB"/>
    <w:rsid w:val="006233EC"/>
    <w:rsid w:val="00624BE9"/>
    <w:rsid w:val="0063379F"/>
    <w:rsid w:val="006461B3"/>
    <w:rsid w:val="00647113"/>
    <w:rsid w:val="00660789"/>
    <w:rsid w:val="0066121F"/>
    <w:rsid w:val="0066551F"/>
    <w:rsid w:val="00665AFF"/>
    <w:rsid w:val="00665C2E"/>
    <w:rsid w:val="00671858"/>
    <w:rsid w:val="00676437"/>
    <w:rsid w:val="00677715"/>
    <w:rsid w:val="00680AD5"/>
    <w:rsid w:val="0068176E"/>
    <w:rsid w:val="00693349"/>
    <w:rsid w:val="006A45DE"/>
    <w:rsid w:val="006A493D"/>
    <w:rsid w:val="006A509C"/>
    <w:rsid w:val="006B37D3"/>
    <w:rsid w:val="006B6C6D"/>
    <w:rsid w:val="006C2B32"/>
    <w:rsid w:val="006C78A4"/>
    <w:rsid w:val="00704731"/>
    <w:rsid w:val="007350D4"/>
    <w:rsid w:val="00743397"/>
    <w:rsid w:val="0075784D"/>
    <w:rsid w:val="0076023C"/>
    <w:rsid w:val="00765A38"/>
    <w:rsid w:val="00765E88"/>
    <w:rsid w:val="007661F8"/>
    <w:rsid w:val="00774A69"/>
    <w:rsid w:val="007857AB"/>
    <w:rsid w:val="00787D44"/>
    <w:rsid w:val="00791CC4"/>
    <w:rsid w:val="00797D46"/>
    <w:rsid w:val="007A19DB"/>
    <w:rsid w:val="007A2B33"/>
    <w:rsid w:val="007B548D"/>
    <w:rsid w:val="007C195E"/>
    <w:rsid w:val="007C75BF"/>
    <w:rsid w:val="007C78B6"/>
    <w:rsid w:val="007D5A7C"/>
    <w:rsid w:val="007E4C82"/>
    <w:rsid w:val="00805A20"/>
    <w:rsid w:val="008144C3"/>
    <w:rsid w:val="008305C4"/>
    <w:rsid w:val="00852378"/>
    <w:rsid w:val="008539C0"/>
    <w:rsid w:val="00854C90"/>
    <w:rsid w:val="00890986"/>
    <w:rsid w:val="008939C0"/>
    <w:rsid w:val="00897465"/>
    <w:rsid w:val="008A1C58"/>
    <w:rsid w:val="008A2C58"/>
    <w:rsid w:val="008B11E8"/>
    <w:rsid w:val="008B3A2E"/>
    <w:rsid w:val="008C7395"/>
    <w:rsid w:val="008C7827"/>
    <w:rsid w:val="008D1F4A"/>
    <w:rsid w:val="008D4C66"/>
    <w:rsid w:val="008E1651"/>
    <w:rsid w:val="008F4AF1"/>
    <w:rsid w:val="008F6000"/>
    <w:rsid w:val="008F7BC2"/>
    <w:rsid w:val="00901439"/>
    <w:rsid w:val="00904DCC"/>
    <w:rsid w:val="00907BDA"/>
    <w:rsid w:val="00921665"/>
    <w:rsid w:val="00927556"/>
    <w:rsid w:val="00950302"/>
    <w:rsid w:val="009528D2"/>
    <w:rsid w:val="0096690C"/>
    <w:rsid w:val="0097661B"/>
    <w:rsid w:val="00986921"/>
    <w:rsid w:val="009A7C39"/>
    <w:rsid w:val="009C30C4"/>
    <w:rsid w:val="009C7A67"/>
    <w:rsid w:val="009D3FC9"/>
    <w:rsid w:val="009F7611"/>
    <w:rsid w:val="00A02416"/>
    <w:rsid w:val="00A04CAE"/>
    <w:rsid w:val="00A06C11"/>
    <w:rsid w:val="00A16C86"/>
    <w:rsid w:val="00A46FB3"/>
    <w:rsid w:val="00A62EA7"/>
    <w:rsid w:val="00A65E62"/>
    <w:rsid w:val="00A7249C"/>
    <w:rsid w:val="00A76929"/>
    <w:rsid w:val="00A81140"/>
    <w:rsid w:val="00A84A01"/>
    <w:rsid w:val="00A86F9C"/>
    <w:rsid w:val="00A90160"/>
    <w:rsid w:val="00AA665D"/>
    <w:rsid w:val="00AB14EE"/>
    <w:rsid w:val="00AC6CD9"/>
    <w:rsid w:val="00AD1606"/>
    <w:rsid w:val="00AD6828"/>
    <w:rsid w:val="00AF5454"/>
    <w:rsid w:val="00B06F6E"/>
    <w:rsid w:val="00B120A1"/>
    <w:rsid w:val="00B157DE"/>
    <w:rsid w:val="00B17C10"/>
    <w:rsid w:val="00B37896"/>
    <w:rsid w:val="00B465A2"/>
    <w:rsid w:val="00B46804"/>
    <w:rsid w:val="00B55FDE"/>
    <w:rsid w:val="00B61D98"/>
    <w:rsid w:val="00B63619"/>
    <w:rsid w:val="00B6449C"/>
    <w:rsid w:val="00B72FDF"/>
    <w:rsid w:val="00B73E73"/>
    <w:rsid w:val="00B75B83"/>
    <w:rsid w:val="00B82EAE"/>
    <w:rsid w:val="00B92A0B"/>
    <w:rsid w:val="00B9370F"/>
    <w:rsid w:val="00BA562C"/>
    <w:rsid w:val="00BA764D"/>
    <w:rsid w:val="00BB46D2"/>
    <w:rsid w:val="00BF1D53"/>
    <w:rsid w:val="00BF56FE"/>
    <w:rsid w:val="00C31165"/>
    <w:rsid w:val="00C34B0B"/>
    <w:rsid w:val="00C405ED"/>
    <w:rsid w:val="00C40903"/>
    <w:rsid w:val="00C5063A"/>
    <w:rsid w:val="00C522DC"/>
    <w:rsid w:val="00C64328"/>
    <w:rsid w:val="00C672B1"/>
    <w:rsid w:val="00C74806"/>
    <w:rsid w:val="00C93545"/>
    <w:rsid w:val="00CA0C9B"/>
    <w:rsid w:val="00CA665F"/>
    <w:rsid w:val="00CC2863"/>
    <w:rsid w:val="00CC7268"/>
    <w:rsid w:val="00CD2467"/>
    <w:rsid w:val="00CD5A39"/>
    <w:rsid w:val="00CF3EDF"/>
    <w:rsid w:val="00CF773F"/>
    <w:rsid w:val="00D07823"/>
    <w:rsid w:val="00D10322"/>
    <w:rsid w:val="00D27DDF"/>
    <w:rsid w:val="00D51541"/>
    <w:rsid w:val="00D54EE1"/>
    <w:rsid w:val="00D6203E"/>
    <w:rsid w:val="00D8589E"/>
    <w:rsid w:val="00D86F72"/>
    <w:rsid w:val="00D94B8B"/>
    <w:rsid w:val="00D96E52"/>
    <w:rsid w:val="00D977A6"/>
    <w:rsid w:val="00DB1270"/>
    <w:rsid w:val="00DB3C04"/>
    <w:rsid w:val="00DB4A1D"/>
    <w:rsid w:val="00DC284A"/>
    <w:rsid w:val="00DC36CE"/>
    <w:rsid w:val="00DD5EF9"/>
    <w:rsid w:val="00DF1BE3"/>
    <w:rsid w:val="00E0163D"/>
    <w:rsid w:val="00E1661C"/>
    <w:rsid w:val="00E2329E"/>
    <w:rsid w:val="00E624F0"/>
    <w:rsid w:val="00E640B4"/>
    <w:rsid w:val="00E72ECA"/>
    <w:rsid w:val="00E748EE"/>
    <w:rsid w:val="00E928D2"/>
    <w:rsid w:val="00E95B3C"/>
    <w:rsid w:val="00E9639F"/>
    <w:rsid w:val="00EA141E"/>
    <w:rsid w:val="00EA35DC"/>
    <w:rsid w:val="00EB6BBC"/>
    <w:rsid w:val="00EC08F6"/>
    <w:rsid w:val="00EC2751"/>
    <w:rsid w:val="00ED3B88"/>
    <w:rsid w:val="00ED4762"/>
    <w:rsid w:val="00F04384"/>
    <w:rsid w:val="00F40B6C"/>
    <w:rsid w:val="00F46642"/>
    <w:rsid w:val="00F47435"/>
    <w:rsid w:val="00F63935"/>
    <w:rsid w:val="00F77357"/>
    <w:rsid w:val="00F918B5"/>
    <w:rsid w:val="00F963BD"/>
    <w:rsid w:val="00FA4709"/>
    <w:rsid w:val="00FA4794"/>
    <w:rsid w:val="00FB5604"/>
    <w:rsid w:val="00FF0E09"/>
    <w:rsid w:val="00FF5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AA3E"/>
  <w15:chartTrackingRefBased/>
  <w15:docId w15:val="{A04FDC4B-8AB1-4394-A7A6-F4315701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F03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378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37896"/>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597E81"/>
    <w:rPr>
      <w:color w:val="0563C1" w:themeColor="hyperlink"/>
      <w:u w:val="single"/>
    </w:rPr>
  </w:style>
  <w:style w:type="character" w:styleId="NichtaufgelsteErwhnung">
    <w:name w:val="Unresolved Mention"/>
    <w:basedOn w:val="Absatz-Standardschriftart"/>
    <w:uiPriority w:val="99"/>
    <w:semiHidden/>
    <w:unhideWhenUsed/>
    <w:rsid w:val="00597E81"/>
    <w:rPr>
      <w:color w:val="605E5C"/>
      <w:shd w:val="clear" w:color="auto" w:fill="E1DFDD"/>
    </w:rPr>
  </w:style>
  <w:style w:type="paragraph" w:styleId="KeinLeerraum">
    <w:name w:val="No Spacing"/>
    <w:uiPriority w:val="1"/>
    <w:qFormat/>
    <w:rsid w:val="00C40903"/>
    <w:pPr>
      <w:spacing w:after="0" w:line="240" w:lineRule="auto"/>
    </w:pPr>
  </w:style>
  <w:style w:type="paragraph" w:styleId="berarbeitung">
    <w:name w:val="Revision"/>
    <w:hidden/>
    <w:uiPriority w:val="99"/>
    <w:semiHidden/>
    <w:rsid w:val="00C40903"/>
    <w:pPr>
      <w:spacing w:after="0" w:line="240" w:lineRule="auto"/>
    </w:pPr>
  </w:style>
  <w:style w:type="paragraph" w:styleId="Kopfzeile">
    <w:name w:val="header"/>
    <w:basedOn w:val="Standard"/>
    <w:link w:val="KopfzeileZchn"/>
    <w:uiPriority w:val="99"/>
    <w:unhideWhenUsed/>
    <w:rsid w:val="002F03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03B8"/>
  </w:style>
  <w:style w:type="paragraph" w:styleId="Fuzeile">
    <w:name w:val="footer"/>
    <w:basedOn w:val="Standard"/>
    <w:link w:val="FuzeileZchn"/>
    <w:uiPriority w:val="99"/>
    <w:unhideWhenUsed/>
    <w:rsid w:val="002F03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03B8"/>
  </w:style>
  <w:style w:type="character" w:customStyle="1" w:styleId="berschrift1Zchn">
    <w:name w:val="Überschrift 1 Zchn"/>
    <w:basedOn w:val="Absatz-Standardschriftart"/>
    <w:link w:val="berschrift1"/>
    <w:uiPriority w:val="9"/>
    <w:rsid w:val="002F03B8"/>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1773C2"/>
    <w:pPr>
      <w:ind w:left="720"/>
      <w:contextualSpacing/>
    </w:pPr>
  </w:style>
  <w:style w:type="table" w:styleId="Tabellenraster">
    <w:name w:val="Table Grid"/>
    <w:basedOn w:val="NormaleTabelle"/>
    <w:uiPriority w:val="39"/>
    <w:rsid w:val="0064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
    <w:name w:val="Grid Table 5 Dark"/>
    <w:basedOn w:val="NormaleTabelle"/>
    <w:uiPriority w:val="50"/>
    <w:rsid w:val="00B644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6">
    <w:name w:val="Grid Table 5 Dark Accent 6"/>
    <w:basedOn w:val="NormaleTabelle"/>
    <w:uiPriority w:val="50"/>
    <w:rsid w:val="00B644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entabelle3">
    <w:name w:val="List Table 3"/>
    <w:basedOn w:val="NormaleTabelle"/>
    <w:uiPriority w:val="48"/>
    <w:rsid w:val="00E9639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Kommentarzeichen">
    <w:name w:val="annotation reference"/>
    <w:basedOn w:val="Absatz-Standardschriftart"/>
    <w:uiPriority w:val="99"/>
    <w:semiHidden/>
    <w:unhideWhenUsed/>
    <w:rsid w:val="00C34B0B"/>
    <w:rPr>
      <w:sz w:val="16"/>
      <w:szCs w:val="16"/>
    </w:rPr>
  </w:style>
  <w:style w:type="paragraph" w:styleId="Kommentartext">
    <w:name w:val="annotation text"/>
    <w:basedOn w:val="Standard"/>
    <w:link w:val="KommentartextZchn"/>
    <w:uiPriority w:val="99"/>
    <w:unhideWhenUsed/>
    <w:rsid w:val="00C34B0B"/>
    <w:pPr>
      <w:spacing w:line="240" w:lineRule="auto"/>
    </w:pPr>
    <w:rPr>
      <w:sz w:val="20"/>
      <w:szCs w:val="20"/>
    </w:rPr>
  </w:style>
  <w:style w:type="character" w:customStyle="1" w:styleId="KommentartextZchn">
    <w:name w:val="Kommentartext Zchn"/>
    <w:basedOn w:val="Absatz-Standardschriftart"/>
    <w:link w:val="Kommentartext"/>
    <w:uiPriority w:val="99"/>
    <w:rsid w:val="00C34B0B"/>
    <w:rPr>
      <w:sz w:val="20"/>
      <w:szCs w:val="20"/>
    </w:rPr>
  </w:style>
  <w:style w:type="paragraph" w:styleId="Kommentarthema">
    <w:name w:val="annotation subject"/>
    <w:basedOn w:val="Kommentartext"/>
    <w:next w:val="Kommentartext"/>
    <w:link w:val="KommentarthemaZchn"/>
    <w:uiPriority w:val="99"/>
    <w:semiHidden/>
    <w:unhideWhenUsed/>
    <w:rsid w:val="00C34B0B"/>
    <w:rPr>
      <w:b/>
      <w:bCs/>
    </w:rPr>
  </w:style>
  <w:style w:type="character" w:customStyle="1" w:styleId="KommentarthemaZchn">
    <w:name w:val="Kommentarthema Zchn"/>
    <w:basedOn w:val="KommentartextZchn"/>
    <w:link w:val="Kommentarthema"/>
    <w:uiPriority w:val="99"/>
    <w:semiHidden/>
    <w:rsid w:val="00C34B0B"/>
    <w:rPr>
      <w:b/>
      <w:bCs/>
      <w:sz w:val="20"/>
      <w:szCs w:val="20"/>
    </w:rPr>
  </w:style>
  <w:style w:type="paragraph" w:styleId="Beschriftung">
    <w:name w:val="caption"/>
    <w:basedOn w:val="Standard"/>
    <w:next w:val="Standard"/>
    <w:uiPriority w:val="35"/>
    <w:unhideWhenUsed/>
    <w:qFormat/>
    <w:rsid w:val="00CD5A39"/>
    <w:pPr>
      <w:spacing w:after="200" w:line="240" w:lineRule="auto"/>
    </w:pPr>
    <w:rPr>
      <w:i/>
      <w:iCs/>
      <w:color w:val="44546A" w:themeColor="text2"/>
      <w:sz w:val="18"/>
      <w:szCs w:val="18"/>
    </w:rPr>
  </w:style>
  <w:style w:type="paragraph" w:styleId="Literaturverzeichnis">
    <w:name w:val="Bibliography"/>
    <w:basedOn w:val="Standard"/>
    <w:next w:val="Standard"/>
    <w:uiPriority w:val="37"/>
    <w:unhideWhenUsed/>
    <w:rsid w:val="00256426"/>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736">
      <w:bodyDiv w:val="1"/>
      <w:marLeft w:val="0"/>
      <w:marRight w:val="0"/>
      <w:marTop w:val="0"/>
      <w:marBottom w:val="0"/>
      <w:divBdr>
        <w:top w:val="none" w:sz="0" w:space="0" w:color="auto"/>
        <w:left w:val="none" w:sz="0" w:space="0" w:color="auto"/>
        <w:bottom w:val="none" w:sz="0" w:space="0" w:color="auto"/>
        <w:right w:val="none" w:sz="0" w:space="0" w:color="auto"/>
      </w:divBdr>
    </w:div>
    <w:div w:id="862740664">
      <w:bodyDiv w:val="1"/>
      <w:marLeft w:val="0"/>
      <w:marRight w:val="0"/>
      <w:marTop w:val="0"/>
      <w:marBottom w:val="0"/>
      <w:divBdr>
        <w:top w:val="none" w:sz="0" w:space="0" w:color="auto"/>
        <w:left w:val="none" w:sz="0" w:space="0" w:color="auto"/>
        <w:bottom w:val="none" w:sz="0" w:space="0" w:color="auto"/>
        <w:right w:val="none" w:sz="0" w:space="0" w:color="auto"/>
      </w:divBdr>
    </w:div>
    <w:div w:id="1057778553">
      <w:bodyDiv w:val="1"/>
      <w:marLeft w:val="0"/>
      <w:marRight w:val="0"/>
      <w:marTop w:val="0"/>
      <w:marBottom w:val="0"/>
      <w:divBdr>
        <w:top w:val="none" w:sz="0" w:space="0" w:color="auto"/>
        <w:left w:val="none" w:sz="0" w:space="0" w:color="auto"/>
        <w:bottom w:val="none" w:sz="0" w:space="0" w:color="auto"/>
        <w:right w:val="none" w:sz="0" w:space="0" w:color="auto"/>
      </w:divBdr>
    </w:div>
    <w:div w:id="2109886599">
      <w:bodyDiv w:val="1"/>
      <w:marLeft w:val="0"/>
      <w:marRight w:val="0"/>
      <w:marTop w:val="0"/>
      <w:marBottom w:val="0"/>
      <w:divBdr>
        <w:top w:val="none" w:sz="0" w:space="0" w:color="auto"/>
        <w:left w:val="none" w:sz="0" w:space="0" w:color="auto"/>
        <w:bottom w:val="none" w:sz="0" w:space="0" w:color="auto"/>
        <w:right w:val="none" w:sz="0" w:space="0" w:color="auto"/>
      </w:divBdr>
    </w:div>
    <w:div w:id="21353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600-1872" TargetMode="External"/><Relationship Id="rId13" Type="http://schemas.openxmlformats.org/officeDocument/2006/relationships/hyperlink" Target="https://miau.my-x.hu/miau/294/hydrogen_market_analyses_2023_abs.xlsx" TargetMode="External"/><Relationship Id="rId18" Type="http://schemas.openxmlformats.org/officeDocument/2006/relationships/hyperlink" Target="https://miau.my-x.hu/miau/294/hydrogen_market_analyses_2023_abs.xlsx"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miau.my-x.hu/myx-free/index_en.php3"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s://miau.my-x.hu/miau/294/hydrogen_market_analyses_2023_abs.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tlik@my-x.hu" TargetMode="External"/><Relationship Id="rId5" Type="http://schemas.openxmlformats.org/officeDocument/2006/relationships/webSettings" Target="webSettings.xml"/><Relationship Id="rId15" Type="http://schemas.openxmlformats.org/officeDocument/2006/relationships/hyperlink" Target="https://miau.my-x.hu/miau/294/hydrogen_market_analyses_2023_abs.xlsx" TargetMode="External"/><Relationship Id="rId23" Type="http://schemas.openxmlformats.org/officeDocument/2006/relationships/theme" Target="theme/theme1.xml"/><Relationship Id="rId10" Type="http://schemas.openxmlformats.org/officeDocument/2006/relationships/hyperlink" Target="mailto:hammerll@live.de" TargetMode="External"/><Relationship Id="rId19" Type="http://schemas.openxmlformats.org/officeDocument/2006/relationships/hyperlink" Target="https://miau.my-x.hu/miau/294/hydrogen_market_analyses_2023_abs.xlsx" TargetMode="External"/><Relationship Id="rId4" Type="http://schemas.openxmlformats.org/officeDocument/2006/relationships/settings" Target="settings.xml"/><Relationship Id="rId9" Type="http://schemas.openxmlformats.org/officeDocument/2006/relationships/hyperlink" Target="https://orcid.org/0000-0001-5819-0319" TargetMode="External"/><Relationship Id="rId14" Type="http://schemas.openxmlformats.org/officeDocument/2006/relationships/hyperlink" Target="https://miau.my-x.hu/miau/294/hydrogen_market_analyses_2023_abs.xlsx"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AC348-9B8E-4A6F-B3B9-F8E3F84F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8490</Words>
  <Characters>53492</Characters>
  <Application>Microsoft Office Word</Application>
  <DocSecurity>0</DocSecurity>
  <Lines>445</Lines>
  <Paragraphs>123</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Laszlo Hammerl</cp:lastModifiedBy>
  <cp:revision>2</cp:revision>
  <dcterms:created xsi:type="dcterms:W3CDTF">2023-01-19T13:18:00Z</dcterms:created>
  <dcterms:modified xsi:type="dcterms:W3CDTF">2023-01-19T13:18:00Z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id="6WDIseLG"/&gt;&lt;style id="http://www.zotero.org/styles/apa" locale="de-DE"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