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9F76" w14:textId="77777777" w:rsidR="005F3088" w:rsidRPr="00B068F4" w:rsidRDefault="00000000">
      <w:pPr>
        <w:spacing w:after="0" w:line="271" w:lineRule="auto"/>
        <w:ind w:left="1255" w:right="1122"/>
        <w:jc w:val="center"/>
        <w:rPr>
          <w:lang w:val="hu-HU"/>
        </w:rPr>
      </w:pPr>
      <w:r w:rsidRPr="00B068F4">
        <w:rPr>
          <w:b/>
          <w:sz w:val="30"/>
          <w:lang w:val="hu-HU"/>
        </w:rPr>
        <w:t xml:space="preserve">Stratégiai szintű tanácsadás (EU-országok/régiók </w:t>
      </w:r>
      <w:proofErr w:type="gramStart"/>
      <w:r w:rsidRPr="00B068F4">
        <w:rPr>
          <w:b/>
          <w:sz w:val="30"/>
          <w:lang w:val="hu-HU"/>
        </w:rPr>
        <w:t>számára)  a</w:t>
      </w:r>
      <w:proofErr w:type="gramEnd"/>
      <w:r w:rsidRPr="00B068F4">
        <w:rPr>
          <w:b/>
          <w:sz w:val="30"/>
          <w:lang w:val="hu-HU"/>
        </w:rPr>
        <w:t xml:space="preserve"> távmunka népszerűsítésének szükségszerűségét illetően </w:t>
      </w:r>
    </w:p>
    <w:p w14:paraId="44203BD2" w14:textId="77777777" w:rsidR="005F3088" w:rsidRPr="00B068F4" w:rsidRDefault="00000000">
      <w:pPr>
        <w:spacing w:after="0" w:line="271" w:lineRule="auto"/>
        <w:ind w:right="7"/>
        <w:jc w:val="center"/>
        <w:rPr>
          <w:lang w:val="hu-HU"/>
        </w:rPr>
      </w:pPr>
      <w:r w:rsidRPr="00B068F4">
        <w:rPr>
          <w:b/>
          <w:sz w:val="30"/>
          <w:lang w:val="hu-HU"/>
        </w:rPr>
        <w:t xml:space="preserve">(ingyenes Google </w:t>
      </w:r>
      <w:proofErr w:type="spellStart"/>
      <w:r w:rsidRPr="00B068F4">
        <w:rPr>
          <w:b/>
          <w:sz w:val="30"/>
          <w:lang w:val="hu-HU"/>
        </w:rPr>
        <w:t>Trends</w:t>
      </w:r>
      <w:proofErr w:type="spellEnd"/>
      <w:r w:rsidRPr="00B068F4">
        <w:rPr>
          <w:b/>
          <w:sz w:val="30"/>
          <w:lang w:val="hu-HU"/>
        </w:rPr>
        <w:t xml:space="preserve"> – társadalomlélektani adatvagyon alapján)</w:t>
      </w:r>
      <w:r w:rsidRPr="00B068F4">
        <w:rPr>
          <w:sz w:val="30"/>
          <w:lang w:val="hu-HU"/>
        </w:rPr>
        <w:t xml:space="preserve"> </w:t>
      </w:r>
    </w:p>
    <w:p w14:paraId="23A3CBD8" w14:textId="77777777" w:rsidR="005F3088" w:rsidRPr="00B068F4" w:rsidRDefault="00000000">
      <w:pPr>
        <w:numPr>
          <w:ilvl w:val="0"/>
          <w:numId w:val="1"/>
        </w:numPr>
        <w:spacing w:after="52"/>
        <w:ind w:right="2" w:firstLine="284"/>
        <w:rPr>
          <w:lang w:val="hu-HU"/>
        </w:rPr>
      </w:pPr>
      <w:r w:rsidRPr="00B068F4">
        <w:rPr>
          <w:b/>
          <w:i/>
          <w:sz w:val="26"/>
          <w:lang w:val="hu-HU"/>
        </w:rPr>
        <w:t xml:space="preserve">A téma: </w:t>
      </w:r>
      <w:r w:rsidRPr="00B068F4">
        <w:rPr>
          <w:lang w:val="hu-HU"/>
        </w:rPr>
        <w:t>Európában egyre fontosabb a környezettudatosság</w:t>
      </w:r>
      <w:r w:rsidRPr="00B068F4">
        <w:rPr>
          <w:vertAlign w:val="superscript"/>
          <w:lang w:val="hu-HU"/>
        </w:rPr>
        <w:t>1</w:t>
      </w:r>
      <w:r w:rsidRPr="00B068F4">
        <w:rPr>
          <w:lang w:val="hu-HU"/>
        </w:rPr>
        <w:t xml:space="preserve">, és a távmunka egy hatékony eszköze lehetne az energiamegtakarításnak, ez áll a távmunka – kulcsszó választásának hátterében. A lakossági közlekedésben a mindennapos munkába járás lényeges részét teszi ki az energiafelhasználásnak. Ezért a munkahelyekre való utazás csökkenése egyértelműen eredményezné az energiafelhasználás csökkenését is. A jelen dolgozatban először arra a kérdésre kerestem a választ, hogy a vizsgált 27 európai uniós ország közül melyeknek lenne érdemes többet foglalkoznia a távmunkával. Az elemzés arra is rávilágít, hogy az egyes országok és kultúrák mennyire következetesen gondolkodnak ebben a kérdésben. A Google </w:t>
      </w:r>
      <w:proofErr w:type="spellStart"/>
      <w:r w:rsidRPr="00B068F4">
        <w:rPr>
          <w:lang w:val="hu-HU"/>
        </w:rPr>
        <w:t>Trends</w:t>
      </w:r>
      <w:proofErr w:type="spellEnd"/>
      <w:r w:rsidRPr="00B068F4">
        <w:rPr>
          <w:lang w:val="hu-HU"/>
        </w:rPr>
        <w:t xml:space="preserve"> adatok alapján készített párhuzamos két elemzés elsődleges célja, hogy konzisztens számításokkal alátámasztva lehessen eljutni adat-alapú diagnózisokig és erre alapuló javaslatokat adni az európai országok bármelyikének. </w:t>
      </w:r>
    </w:p>
    <w:p w14:paraId="5DCFEE2A" w14:textId="77777777" w:rsidR="005F3088" w:rsidRPr="00B068F4" w:rsidRDefault="00000000">
      <w:pPr>
        <w:numPr>
          <w:ilvl w:val="0"/>
          <w:numId w:val="1"/>
        </w:numPr>
        <w:ind w:right="2" w:firstLine="284"/>
        <w:rPr>
          <w:lang w:val="hu-HU"/>
        </w:rPr>
      </w:pPr>
      <w:r w:rsidRPr="00B068F4">
        <w:rPr>
          <w:b/>
          <w:i/>
          <w:sz w:val="26"/>
          <w:lang w:val="hu-HU"/>
        </w:rPr>
        <w:t>A kutatás ismertetése:</w:t>
      </w:r>
      <w:r w:rsidRPr="00B068F4">
        <w:rPr>
          <w:b/>
          <w:i/>
          <w:lang w:val="hu-HU"/>
        </w:rPr>
        <w:t xml:space="preserve"> </w:t>
      </w:r>
      <w:r w:rsidRPr="00B068F4">
        <w:rPr>
          <w:lang w:val="hu-HU"/>
        </w:rPr>
        <w:t>A dolgozat elemzéseit 2*10 referenciaként használt kifejezés (</w:t>
      </w:r>
      <w:proofErr w:type="spellStart"/>
      <w:r w:rsidRPr="00B068F4">
        <w:rPr>
          <w:lang w:val="hu-HU"/>
        </w:rPr>
        <w:t>Xi</w:t>
      </w:r>
      <w:proofErr w:type="spellEnd"/>
      <w:r w:rsidRPr="00B068F4">
        <w:rPr>
          <w:lang w:val="hu-HU"/>
        </w:rPr>
        <w:t>) és a kulcsszóként szolgáló „távmunka” szó (Y) Google Trends</w:t>
      </w:r>
      <w:r w:rsidRPr="00B068F4">
        <w:rPr>
          <w:vertAlign w:val="superscript"/>
          <w:lang w:val="hu-HU"/>
        </w:rPr>
        <w:t>2</w:t>
      </w:r>
      <w:r w:rsidRPr="00B068F4">
        <w:rPr>
          <w:lang w:val="hu-HU"/>
        </w:rPr>
        <w:t xml:space="preserve"> adatainak felhasználásával végeztem, amelyet bárki ingyenesen igénybe vehet. A Google </w:t>
      </w:r>
      <w:proofErr w:type="spellStart"/>
      <w:r w:rsidRPr="00B068F4">
        <w:rPr>
          <w:lang w:val="hu-HU"/>
        </w:rPr>
        <w:t>Trends</w:t>
      </w:r>
      <w:proofErr w:type="spellEnd"/>
      <w:r w:rsidRPr="00B068F4">
        <w:rPr>
          <w:lang w:val="hu-HU"/>
        </w:rPr>
        <w:t xml:space="preserve"> adott Google keresések aktuális trendjét mutatja meg. Az adatok az elmúlt 5 évben (2019.03.03. és 2024.03.02. között) a keresési kifejezések arányait/dinamikáját mutatják. A keresési kifejezéseket jelentésük alapján csoportosítottam, így létrejöttek az ún. „zöld” és „szabadidő” fogalom-csoportok. </w:t>
      </w:r>
    </w:p>
    <w:p w14:paraId="0CF0B327" w14:textId="77777777" w:rsidR="005F3088" w:rsidRPr="00B068F4" w:rsidRDefault="00000000">
      <w:pPr>
        <w:ind w:left="-5" w:right="2"/>
        <w:rPr>
          <w:lang w:val="hu-HU"/>
        </w:rPr>
      </w:pPr>
      <w:r w:rsidRPr="00B068F4">
        <w:rPr>
          <w:lang w:val="hu-HU"/>
        </w:rPr>
        <w:t xml:space="preserve">A vizsgálat magas szintű konzisztencia-orientált elemzést tesz lehetővé, ahol legalább két párhuzamos szál működik együtt, hogy feltárják az egymást erősítő hatásokat. Ugyanis a konzisztencia fogalma nem más, mint az egymástól független részeredmények illeszkedésének maximalizálása. </w:t>
      </w:r>
    </w:p>
    <w:p w14:paraId="0915963E" w14:textId="77777777" w:rsidR="005F3088" w:rsidRPr="00B068F4" w:rsidRDefault="00000000">
      <w:pPr>
        <w:ind w:left="-5" w:right="2"/>
        <w:rPr>
          <w:lang w:val="hu-HU"/>
        </w:rPr>
      </w:pPr>
      <w:r w:rsidRPr="00B068F4">
        <w:rPr>
          <w:lang w:val="hu-HU"/>
        </w:rPr>
        <w:t xml:space="preserve">Fontos megjegyezni, hogy a különböző nyelveken történő keresések összehasonlítása is lehetséges a Google </w:t>
      </w:r>
      <w:proofErr w:type="spellStart"/>
      <w:r w:rsidRPr="00B068F4">
        <w:rPr>
          <w:lang w:val="hu-HU"/>
        </w:rPr>
        <w:t>Trends</w:t>
      </w:r>
      <w:proofErr w:type="spellEnd"/>
      <w:r w:rsidRPr="00B068F4">
        <w:rPr>
          <w:lang w:val="hu-HU"/>
        </w:rPr>
        <w:t xml:space="preserve"> használatával, ugyanis ki lehet választani, hogy az adott szó ne ún. keresési kifejezésként szerepeljen (pl. „távmunka”), hanem témakörként (pl. „%2Fm%2F014xsg” = Távmunka témakör), mert itt egy adott, Google által konszolidált belső kódot vizsgál a rendszer, ami minden nyelven ugyanaz. </w:t>
      </w:r>
    </w:p>
    <w:p w14:paraId="1C318F68" w14:textId="77777777" w:rsidR="005F3088" w:rsidRPr="00B068F4" w:rsidRDefault="00000000">
      <w:pPr>
        <w:spacing w:after="47"/>
        <w:ind w:left="-5" w:right="2"/>
        <w:rPr>
          <w:lang w:val="hu-HU"/>
        </w:rPr>
      </w:pPr>
      <w:r w:rsidRPr="00B068F4">
        <w:rPr>
          <w:lang w:val="hu-HU"/>
        </w:rPr>
        <w:t>Az adatok elemzésére felhasznált rendszer módszertanának részletezése a terjedelem miatt itt csak részlegesen lehetséges, de a szakirodalomból</w:t>
      </w:r>
      <w:r w:rsidRPr="00B068F4">
        <w:rPr>
          <w:vertAlign w:val="superscript"/>
          <w:lang w:val="hu-HU"/>
        </w:rPr>
        <w:t>3</w:t>
      </w:r>
      <w:r w:rsidRPr="00B068F4">
        <w:rPr>
          <w:lang w:val="hu-HU"/>
        </w:rPr>
        <w:t xml:space="preserve"> hozzáférhető. Az elemzés során felhasznált adatokból először létrehoztam egy OAM</w:t>
      </w:r>
      <w:r w:rsidRPr="00B068F4">
        <w:rPr>
          <w:vertAlign w:val="superscript"/>
          <w:lang w:val="hu-HU"/>
        </w:rPr>
        <w:t>4</w:t>
      </w:r>
      <w:r w:rsidRPr="00B068F4">
        <w:rPr>
          <w:lang w:val="hu-HU"/>
        </w:rPr>
        <w:t>-ot, ahol a keresési kifejezések és a távmunka közötti kapcsolatot</w:t>
      </w:r>
      <w:r w:rsidRPr="00B068F4">
        <w:rPr>
          <w:vertAlign w:val="superscript"/>
          <w:lang w:val="hu-HU"/>
        </w:rPr>
        <w:t>5</w:t>
      </w:r>
      <w:r w:rsidRPr="00B068F4">
        <w:rPr>
          <w:lang w:val="hu-HU"/>
        </w:rPr>
        <w:t xml:space="preserve"> vizsgáltam a társadalmi következetesség matematikai reprezentációjaként. Az elemzések során alkalmazott matematikai apparátus az online hasonlóságelemzés</w:t>
      </w:r>
      <w:r w:rsidRPr="00B068F4">
        <w:rPr>
          <w:vertAlign w:val="superscript"/>
          <w:lang w:val="hu-HU"/>
        </w:rPr>
        <w:t>6</w:t>
      </w:r>
      <w:r w:rsidRPr="00B068F4">
        <w:rPr>
          <w:lang w:val="hu-HU"/>
        </w:rPr>
        <w:t xml:space="preserve">, mely bárki számára ingyenesen elérhető. </w:t>
      </w:r>
    </w:p>
    <w:p w14:paraId="34575C2D" w14:textId="77777777" w:rsidR="005F3088" w:rsidRPr="00B068F4" w:rsidRDefault="00000000">
      <w:pPr>
        <w:ind w:left="-15" w:right="2" w:firstLine="284"/>
        <w:rPr>
          <w:lang w:val="hu-HU"/>
        </w:rPr>
      </w:pPr>
      <w:r w:rsidRPr="00B068F4">
        <w:rPr>
          <w:b/>
          <w:i/>
          <w:lang w:val="hu-HU"/>
        </w:rPr>
        <w:t>3.</w:t>
      </w:r>
      <w:r w:rsidRPr="00B068F4">
        <w:rPr>
          <w:rFonts w:ascii="Arial" w:eastAsia="Arial" w:hAnsi="Arial" w:cs="Arial"/>
          <w:b/>
          <w:i/>
          <w:lang w:val="hu-HU"/>
        </w:rPr>
        <w:t xml:space="preserve"> </w:t>
      </w:r>
      <w:r w:rsidRPr="00B068F4">
        <w:rPr>
          <w:b/>
          <w:i/>
          <w:sz w:val="26"/>
          <w:lang w:val="hu-HU"/>
        </w:rPr>
        <w:t>Kiemelt eredmények</w:t>
      </w:r>
      <w:r w:rsidRPr="00B068F4">
        <w:rPr>
          <w:b/>
          <w:i/>
          <w:lang w:val="hu-HU"/>
        </w:rPr>
        <w:t xml:space="preserve">: </w:t>
      </w:r>
      <w:r w:rsidRPr="00B068F4">
        <w:rPr>
          <w:lang w:val="hu-HU"/>
        </w:rPr>
        <w:t xml:space="preserve">Az alkalmazott matematikai standard modell alapján készült becslések és a már meglévő tény adatok alapján előáll egy ún. hiba érték, ami mutatja, hogy adott országban </w:t>
      </w:r>
      <w:r w:rsidRPr="00B068F4">
        <w:rPr>
          <w:lang w:val="hu-HU"/>
        </w:rPr>
        <w:lastRenderedPageBreak/>
        <w:t xml:space="preserve">adott évben mennyivel többet vagy kevesebbet foglalkoztak a távmunkával, mint a referenciaként használt többi kifejezés adatai alapján várható lett volna (135 ország-év objektum 10+1 attribútuma alapján). A tény-becslés eltérés-értékeknek az átlaga, maximuma, minimuma, ill. nyers értéke azt mutatja, hogy a 14 régi EU-tagország és a 13 2003 után csatlakozó új tagország jelentősen eltérő karakterisztikákat mutat fel a zöld-fogalmak és a szabadidős-fogalmak esetén egymást erősítő módon. </w:t>
      </w:r>
    </w:p>
    <w:p w14:paraId="16780A8F" w14:textId="77777777" w:rsidR="005F3088" w:rsidRPr="00B068F4" w:rsidRDefault="00000000">
      <w:pPr>
        <w:ind w:left="-5" w:right="2"/>
        <w:rPr>
          <w:lang w:val="hu-HU"/>
        </w:rPr>
      </w:pPr>
      <w:r w:rsidRPr="00B068F4">
        <w:rPr>
          <w:lang w:val="hu-HU"/>
        </w:rPr>
        <w:t>A meredekség értékek azt jelzik, hogy a statikusan évente a SWOT logikáját automatizáltan értelmezni engedő előjeles eltérések alakulása inkább romló vagy inkább javuló</w:t>
      </w:r>
      <w:r w:rsidRPr="00B068F4">
        <w:rPr>
          <w:vertAlign w:val="superscript"/>
          <w:lang w:val="hu-HU"/>
        </w:rPr>
        <w:t>7</w:t>
      </w:r>
      <w:r w:rsidRPr="00B068F4">
        <w:rPr>
          <w:lang w:val="hu-HU"/>
        </w:rPr>
        <w:t xml:space="preserve"> tendenciát mutat. Az eredményként kapott tény-becslés eltérés értékeknek az </w:t>
      </w:r>
      <w:proofErr w:type="spellStart"/>
      <w:r w:rsidRPr="00B068F4">
        <w:rPr>
          <w:lang w:val="hu-HU"/>
        </w:rPr>
        <w:t>országonkénti</w:t>
      </w:r>
      <w:proofErr w:type="spellEnd"/>
      <w:r w:rsidRPr="00B068F4">
        <w:rPr>
          <w:lang w:val="hu-HU"/>
        </w:rPr>
        <w:t xml:space="preserve"> átlagának és meredekségének korrelációja 0,7-0,7 volt, ami azt jelenti, hogy a két aspektus kiegészíti egymást. Ez garantálja úgy a módszertannak, mind maguknak az eredményeknek a hitelességét – országcsoportoktól függetlenül. </w:t>
      </w:r>
    </w:p>
    <w:p w14:paraId="1639CC1F" w14:textId="77777777" w:rsidR="005F3088" w:rsidRPr="00B068F4" w:rsidRDefault="00000000">
      <w:pPr>
        <w:spacing w:after="52"/>
        <w:ind w:left="-5" w:right="2"/>
        <w:rPr>
          <w:lang w:val="hu-HU"/>
        </w:rPr>
      </w:pPr>
      <w:r w:rsidRPr="00B068F4">
        <w:rPr>
          <w:lang w:val="hu-HU"/>
        </w:rPr>
        <w:t xml:space="preserve">Az országcsoportok kialakításának célja az volt, hogy látható különbségeket mutassanak a gondolkodásmódban az adatok alapján, ne csak a szakértői intuíciókra hagyatkozva, hanem </w:t>
      </w:r>
      <w:proofErr w:type="spellStart"/>
      <w:r w:rsidRPr="00B068F4">
        <w:rPr>
          <w:lang w:val="hu-HU"/>
        </w:rPr>
        <w:t>adatvezérelt</w:t>
      </w:r>
      <w:proofErr w:type="spellEnd"/>
      <w:r w:rsidRPr="00B068F4">
        <w:rPr>
          <w:lang w:val="hu-HU"/>
        </w:rPr>
        <w:t xml:space="preserve"> módon is. Ezt egy </w:t>
      </w:r>
      <w:proofErr w:type="spellStart"/>
      <w:r w:rsidRPr="00B068F4">
        <w:rPr>
          <w:lang w:val="hu-HU"/>
        </w:rPr>
        <w:t>dashboard</w:t>
      </w:r>
      <w:proofErr w:type="spellEnd"/>
      <w:r w:rsidRPr="00B068F4">
        <w:rPr>
          <w:lang w:val="hu-HU"/>
        </w:rPr>
        <w:t xml:space="preserve"> mutatja be. (vö. prezentáció) </w:t>
      </w:r>
    </w:p>
    <w:p w14:paraId="42586F45" w14:textId="77777777" w:rsidR="005F3088" w:rsidRPr="00B068F4" w:rsidRDefault="00000000">
      <w:pPr>
        <w:numPr>
          <w:ilvl w:val="0"/>
          <w:numId w:val="2"/>
        </w:numPr>
        <w:spacing w:after="63"/>
        <w:ind w:right="2" w:firstLine="284"/>
        <w:rPr>
          <w:lang w:val="hu-HU"/>
        </w:rPr>
      </w:pPr>
      <w:r w:rsidRPr="00B068F4">
        <w:rPr>
          <w:b/>
          <w:i/>
          <w:sz w:val="26"/>
          <w:lang w:val="hu-HU"/>
        </w:rPr>
        <w:t>Javaslatok:</w:t>
      </w:r>
      <w:r w:rsidRPr="00B068F4">
        <w:rPr>
          <w:b/>
          <w:i/>
          <w:lang w:val="hu-HU"/>
        </w:rPr>
        <w:t xml:space="preserve"> </w:t>
      </w:r>
      <w:r w:rsidRPr="00B068F4">
        <w:rPr>
          <w:lang w:val="hu-HU"/>
        </w:rPr>
        <w:t>Fontos kiemelni, hogy a vizsgált adatok és az elemzések nem egy-egy ország politikai intézkedéseit hivatottak értelmezni. Az adatok és az elemzések is arra vonatkoznak, hogy az emberek mennyire „érzékenyek” a távmunka kulcsszóra. A távmunka elterjedésének az energiafelhasználás direkt csökkentése, valamint az idő</w:t>
      </w:r>
      <w:r w:rsidRPr="00B068F4">
        <w:rPr>
          <w:vertAlign w:val="superscript"/>
          <w:lang w:val="hu-HU"/>
        </w:rPr>
        <w:t>8</w:t>
      </w:r>
      <w:r w:rsidRPr="00B068F4">
        <w:rPr>
          <w:lang w:val="hu-HU"/>
        </w:rPr>
        <w:t>- és költséghatékonyság direkt hatásai mellett is számos előnye van: például hatékonyság-növekedés, interkontinentális lehetőségek miatt nagyobb munkaerőpiac és a vállalatok versenyképességének növekedése. A munkavállalók rugalmas munkaidőben dolgozhatnak, ami elősegítheti a munka- és magánélet egyensúlyának fenntartását. Ugyanakkor nehezítő körülmények is vannak, mint például a megfelelő munkakörnyezet kialakításának nehézsége az otthonokban. Az ellenőrzés hiánya pedig rombolhatja a korábban említett hatékonysági-növekedést. Fontos az együttműködés és a kommunikáció fenntartása a távmunka során, valamint a kompromisszumkészség mind a munkáltatók, mind a munkavállaló részéről. A 2004 előtti EU-tagországok távmunka-érdeklődése bár általában magasabb</w:t>
      </w:r>
      <w:r w:rsidRPr="00B068F4">
        <w:rPr>
          <w:vertAlign w:val="superscript"/>
          <w:lang w:val="hu-HU"/>
        </w:rPr>
        <w:t>9</w:t>
      </w:r>
      <w:r w:rsidRPr="00B068F4">
        <w:rPr>
          <w:lang w:val="hu-HU"/>
        </w:rPr>
        <w:t xml:space="preserve">, mint az új országok esetén, de ez a szint a keretfeltételek („zöld” és „szabadidős” szócsoportok) mellett relatív alacsony és romló trendet mutat szemben az új tagországok javuló, pozitív távmunkaértelmezésével a teljes objektumhalmazon és ennek </w:t>
      </w:r>
      <w:proofErr w:type="spellStart"/>
      <w:r w:rsidRPr="00B068F4">
        <w:rPr>
          <w:lang w:val="hu-HU"/>
        </w:rPr>
        <w:t>validálható</w:t>
      </w:r>
      <w:proofErr w:type="spellEnd"/>
      <w:r w:rsidRPr="00B068F4">
        <w:rPr>
          <w:lang w:val="hu-HU"/>
        </w:rPr>
        <w:t xml:space="preserve"> részhalmazán. </w:t>
      </w:r>
    </w:p>
    <w:p w14:paraId="55B171C6" w14:textId="77777777" w:rsidR="005F3088" w:rsidRPr="00B068F4" w:rsidRDefault="00000000">
      <w:pPr>
        <w:numPr>
          <w:ilvl w:val="0"/>
          <w:numId w:val="2"/>
        </w:numPr>
        <w:ind w:right="2" w:firstLine="284"/>
        <w:rPr>
          <w:lang w:val="hu-HU"/>
        </w:rPr>
      </w:pPr>
      <w:r w:rsidRPr="00B068F4">
        <w:rPr>
          <w:b/>
          <w:i/>
          <w:sz w:val="26"/>
          <w:lang w:val="hu-HU"/>
        </w:rPr>
        <w:t>Jövőkép:</w:t>
      </w:r>
      <w:r w:rsidRPr="00B068F4">
        <w:rPr>
          <w:b/>
          <w:i/>
          <w:sz w:val="28"/>
          <w:lang w:val="hu-HU"/>
        </w:rPr>
        <w:t xml:space="preserve"> </w:t>
      </w:r>
      <w:r w:rsidRPr="00B068F4">
        <w:rPr>
          <w:lang w:val="hu-HU"/>
        </w:rPr>
        <w:t>Az eddig készült elemzések bárki számára reprodukálhatóan elérhetők</w:t>
      </w:r>
      <w:r w:rsidRPr="00B068F4">
        <w:rPr>
          <w:vertAlign w:val="superscript"/>
          <w:lang w:val="hu-HU"/>
        </w:rPr>
        <w:t>10</w:t>
      </w:r>
      <w:r w:rsidRPr="00B068F4">
        <w:rPr>
          <w:lang w:val="hu-HU"/>
        </w:rPr>
        <w:t>. A pályázat elbírálása után a teljes cikk is itt fog megjelenni magyarul, angolul és németül a téma hazai és nemzetközi egyetemi oktatási aktivitásokba való bevonásának köszönhetően. A konzisztencia további finomhangolása céljából az elemzés kiegészíthető új fogalmakkal is. A modellezés és az elemzések pontosítása lehetővé teszi, hogy ország- vagy régiószinten meg lehessen határozni, mely fogalmaknak kell külön figyelmet szentelni. A régi tagországok esetén ilyen (nem lobbi-orientált, hanem) objektív/adat-vezérelt (vö. KNUTH-i elvek</w:t>
      </w:r>
      <w:r w:rsidRPr="00B068F4">
        <w:rPr>
          <w:vertAlign w:val="superscript"/>
          <w:lang w:val="hu-HU"/>
        </w:rPr>
        <w:t>11</w:t>
      </w:r>
      <w:r w:rsidRPr="00B068F4">
        <w:rPr>
          <w:lang w:val="hu-HU"/>
        </w:rPr>
        <w:t xml:space="preserve">) tanulmányok esetében a távmunka irányába </w:t>
      </w:r>
      <w:r w:rsidRPr="00B068F4">
        <w:rPr>
          <w:lang w:val="hu-HU"/>
        </w:rPr>
        <w:lastRenderedPageBreak/>
        <w:t xml:space="preserve">további érzékenyítési akciókat kellene indítani, ahol az új tagországok szolgálnának végre </w:t>
      </w:r>
      <w:proofErr w:type="spellStart"/>
      <w:r w:rsidRPr="00B068F4">
        <w:rPr>
          <w:lang w:val="hu-HU"/>
        </w:rPr>
        <w:t>best</w:t>
      </w:r>
      <w:proofErr w:type="spellEnd"/>
      <w:r w:rsidRPr="00B068F4">
        <w:rPr>
          <w:lang w:val="hu-HU"/>
        </w:rPr>
        <w:t>-</w:t>
      </w:r>
      <w:proofErr w:type="spellStart"/>
      <w:r w:rsidRPr="00B068F4">
        <w:rPr>
          <w:lang w:val="hu-HU"/>
        </w:rPr>
        <w:t>practice</w:t>
      </w:r>
      <w:proofErr w:type="spellEnd"/>
      <w:r w:rsidRPr="00B068F4">
        <w:rPr>
          <w:lang w:val="hu-HU"/>
        </w:rPr>
        <w:t xml:space="preserve">-ként! </w:t>
      </w:r>
    </w:p>
    <w:p w14:paraId="13668C41" w14:textId="77777777" w:rsidR="005F3088" w:rsidRPr="00B068F4" w:rsidRDefault="00000000">
      <w:pPr>
        <w:numPr>
          <w:ilvl w:val="0"/>
          <w:numId w:val="2"/>
        </w:numPr>
        <w:spacing w:after="78" w:line="259" w:lineRule="auto"/>
        <w:ind w:right="2" w:firstLine="284"/>
        <w:rPr>
          <w:lang w:val="hu-HU"/>
        </w:rPr>
      </w:pPr>
      <w:r w:rsidRPr="00B068F4">
        <w:rPr>
          <w:b/>
          <w:i/>
          <w:sz w:val="26"/>
          <w:lang w:val="hu-HU"/>
        </w:rPr>
        <w:t>Forrásjegyzék:</w:t>
      </w:r>
      <w:r w:rsidRPr="00B068F4">
        <w:rPr>
          <w:lang w:val="hu-HU"/>
        </w:rPr>
        <w:t xml:space="preserve"> </w:t>
      </w:r>
    </w:p>
    <w:p w14:paraId="601F4C7D" w14:textId="77777777" w:rsidR="005F3088" w:rsidRPr="00B068F4" w:rsidRDefault="00000000">
      <w:pPr>
        <w:spacing w:after="0" w:line="259" w:lineRule="auto"/>
        <w:ind w:left="0" w:right="0" w:firstLine="0"/>
        <w:jc w:val="left"/>
        <w:rPr>
          <w:lang w:val="hu-HU"/>
        </w:rPr>
      </w:pPr>
      <w:r w:rsidRPr="00B068F4">
        <w:rPr>
          <w:rFonts w:ascii="Calibri" w:eastAsia="Calibri" w:hAnsi="Calibri" w:cs="Calibri"/>
          <w:noProof/>
          <w:sz w:val="22"/>
          <w:lang w:val="hu-HU"/>
        </w:rPr>
        <mc:AlternateContent>
          <mc:Choice Requires="wpg">
            <w:drawing>
              <wp:inline distT="0" distB="0" distL="0" distR="0" wp14:anchorId="6C33C2DA" wp14:editId="18C712BE">
                <wp:extent cx="1829435" cy="7620"/>
                <wp:effectExtent l="0" t="0" r="0" b="0"/>
                <wp:docPr id="3715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4137" name="Shape 4137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5" style="width:144.05pt;height:0.599976pt;mso-position-horizontal-relative:char;mso-position-vertical-relative:line" coordsize="18294,76">
                <v:shape id="Shape 4138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B068F4">
        <w:rPr>
          <w:lang w:val="hu-HU"/>
        </w:rPr>
        <w:t xml:space="preserve"> </w:t>
      </w:r>
    </w:p>
    <w:p w14:paraId="2BC63E10" w14:textId="77777777" w:rsidR="005F3088" w:rsidRPr="00B068F4" w:rsidRDefault="00000000">
      <w:pPr>
        <w:numPr>
          <w:ilvl w:val="0"/>
          <w:numId w:val="3"/>
        </w:numPr>
        <w:spacing w:after="21" w:line="259" w:lineRule="auto"/>
        <w:ind w:right="0" w:hanging="180"/>
        <w:jc w:val="left"/>
        <w:rPr>
          <w:lang w:val="hu-HU"/>
        </w:rPr>
      </w:pPr>
      <w:hyperlink r:id="rId5">
        <w:r w:rsidRPr="00B068F4">
          <w:rPr>
            <w:color w:val="467886"/>
            <w:sz w:val="20"/>
            <w:u w:val="single" w:color="467886"/>
            <w:lang w:val="hu-HU"/>
          </w:rPr>
          <w:t>https://www.palyazat.gov.hu/programok/kozvetlen</w:t>
        </w:r>
      </w:hyperlink>
      <w:hyperlink r:id="rId6">
        <w:r w:rsidRPr="00B068F4">
          <w:rPr>
            <w:color w:val="467886"/>
            <w:sz w:val="20"/>
            <w:u w:val="single" w:color="467886"/>
            <w:lang w:val="hu-HU"/>
          </w:rPr>
          <w:t>-</w:t>
        </w:r>
      </w:hyperlink>
      <w:hyperlink r:id="rId7">
        <w:r w:rsidRPr="00B068F4">
          <w:rPr>
            <w:color w:val="467886"/>
            <w:sz w:val="20"/>
            <w:u w:val="single" w:color="467886"/>
            <w:lang w:val="hu-HU"/>
          </w:rPr>
          <w:t>unios</w:t>
        </w:r>
      </w:hyperlink>
      <w:hyperlink r:id="rId8">
        <w:r w:rsidRPr="00B068F4">
          <w:rPr>
            <w:color w:val="467886"/>
            <w:sz w:val="20"/>
            <w:u w:val="single" w:color="467886"/>
            <w:lang w:val="hu-HU"/>
          </w:rPr>
          <w:t>-</w:t>
        </w:r>
      </w:hyperlink>
      <w:hyperlink r:id="rId9">
        <w:r w:rsidRPr="00B068F4">
          <w:rPr>
            <w:color w:val="467886"/>
            <w:sz w:val="20"/>
            <w:u w:val="single" w:color="467886"/>
            <w:lang w:val="hu-HU"/>
          </w:rPr>
          <w:t>programok</w:t>
        </w:r>
      </w:hyperlink>
      <w:hyperlink r:id="rId10">
        <w:r w:rsidRPr="00B068F4">
          <w:rPr>
            <w:sz w:val="20"/>
            <w:lang w:val="hu-HU"/>
          </w:rPr>
          <w:t xml:space="preserve"> </w:t>
        </w:r>
      </w:hyperlink>
      <w:r w:rsidRPr="00B068F4">
        <w:rPr>
          <w:sz w:val="20"/>
          <w:lang w:val="hu-HU"/>
        </w:rPr>
        <w:t xml:space="preserve">https://www.palyazat.gov.hu/palyazatok/palyazatkereso </w:t>
      </w:r>
    </w:p>
    <w:p w14:paraId="6F47BFCE" w14:textId="77777777" w:rsidR="005F3088" w:rsidRPr="00B068F4" w:rsidRDefault="00000000">
      <w:pPr>
        <w:numPr>
          <w:ilvl w:val="0"/>
          <w:numId w:val="3"/>
        </w:numPr>
        <w:spacing w:after="26" w:line="259" w:lineRule="auto"/>
        <w:ind w:right="0" w:hanging="180"/>
        <w:jc w:val="left"/>
        <w:rPr>
          <w:lang w:val="hu-HU"/>
        </w:rPr>
      </w:pPr>
      <w:r w:rsidRPr="00B068F4">
        <w:rPr>
          <w:sz w:val="20"/>
          <w:lang w:val="hu-HU"/>
        </w:rPr>
        <w:t xml:space="preserve">https://trends.google.hu/trends/ </w:t>
      </w:r>
    </w:p>
    <w:p w14:paraId="2E96336E" w14:textId="77777777" w:rsidR="005F3088" w:rsidRPr="00B068F4" w:rsidRDefault="00000000">
      <w:pPr>
        <w:numPr>
          <w:ilvl w:val="0"/>
          <w:numId w:val="3"/>
        </w:numPr>
        <w:spacing w:after="26" w:line="259" w:lineRule="auto"/>
        <w:ind w:right="0" w:hanging="180"/>
        <w:jc w:val="left"/>
        <w:rPr>
          <w:lang w:val="hu-HU"/>
        </w:rPr>
      </w:pPr>
      <w:r w:rsidRPr="00B068F4">
        <w:rPr>
          <w:sz w:val="20"/>
          <w:lang w:val="hu-HU"/>
        </w:rPr>
        <w:t xml:space="preserve">A felhasznált standard matematikai modell részletes leírása a mellékelt dolgozat függelékében szerepel </w:t>
      </w:r>
      <w:hyperlink r:id="rId11">
        <w:r w:rsidRPr="00B068F4">
          <w:rPr>
            <w:color w:val="467886"/>
            <w:sz w:val="20"/>
            <w:u w:val="single" w:color="467886"/>
            <w:lang w:val="hu-HU"/>
          </w:rPr>
          <w:t>https://miau.my</w:t>
        </w:r>
      </w:hyperlink>
      <w:hyperlink r:id="rId12">
        <w:r w:rsidRPr="00B068F4">
          <w:rPr>
            <w:color w:val="467886"/>
            <w:sz w:val="20"/>
            <w:u w:val="single" w:color="467886"/>
            <w:lang w:val="hu-HU"/>
          </w:rPr>
          <w:t>-</w:t>
        </w:r>
      </w:hyperlink>
      <w:hyperlink r:id="rId13">
        <w:r w:rsidRPr="00B068F4">
          <w:rPr>
            <w:color w:val="467886"/>
            <w:sz w:val="20"/>
            <w:u w:val="single" w:color="467886"/>
            <w:lang w:val="hu-HU"/>
          </w:rPr>
          <w:t>x.hu/miau/277/szakdoga_PM_final.pdf</w:t>
        </w:r>
      </w:hyperlink>
      <w:hyperlink r:id="rId14">
        <w:r w:rsidRPr="00B068F4">
          <w:rPr>
            <w:sz w:val="20"/>
            <w:lang w:val="hu-HU"/>
          </w:rPr>
          <w:t xml:space="preserve"> </w:t>
        </w:r>
      </w:hyperlink>
    </w:p>
    <w:p w14:paraId="533FC486" w14:textId="77777777" w:rsidR="005F3088" w:rsidRPr="00B068F4" w:rsidRDefault="00000000">
      <w:pPr>
        <w:numPr>
          <w:ilvl w:val="0"/>
          <w:numId w:val="3"/>
        </w:numPr>
        <w:spacing w:after="26" w:line="259" w:lineRule="auto"/>
        <w:ind w:right="0" w:hanging="180"/>
        <w:jc w:val="left"/>
        <w:rPr>
          <w:lang w:val="hu-HU"/>
        </w:rPr>
      </w:pPr>
      <w:r w:rsidRPr="00B068F4">
        <w:rPr>
          <w:sz w:val="20"/>
          <w:lang w:val="hu-HU"/>
        </w:rPr>
        <w:t xml:space="preserve">Az OAM (objektum-attribútum-mátrix) hasonlóságelemzés alapfogalma. Ez esetben az objektumok az országok és az évek, az attribútumok pedig a fogalmak. </w:t>
      </w:r>
    </w:p>
    <w:p w14:paraId="5063200C" w14:textId="77777777" w:rsidR="005F3088" w:rsidRPr="00B068F4" w:rsidRDefault="00000000">
      <w:pPr>
        <w:numPr>
          <w:ilvl w:val="0"/>
          <w:numId w:val="3"/>
        </w:numPr>
        <w:spacing w:after="26" w:line="259" w:lineRule="auto"/>
        <w:ind w:right="0" w:hanging="180"/>
        <w:jc w:val="left"/>
        <w:rPr>
          <w:lang w:val="hu-HU"/>
        </w:rPr>
      </w:pPr>
      <w:r w:rsidRPr="00B068F4">
        <w:rPr>
          <w:sz w:val="20"/>
          <w:lang w:val="hu-HU"/>
        </w:rPr>
        <w:t xml:space="preserve">„Minél többet keresünk a referenciaként használt kifejezésekre, annál többet kell foglalkoznunk a távmunkával is” – elv alapján </w:t>
      </w:r>
    </w:p>
    <w:p w14:paraId="05D13E43" w14:textId="77777777" w:rsidR="005F3088" w:rsidRPr="00B068F4" w:rsidRDefault="00000000">
      <w:pPr>
        <w:numPr>
          <w:ilvl w:val="0"/>
          <w:numId w:val="3"/>
        </w:numPr>
        <w:spacing w:after="21" w:line="259" w:lineRule="auto"/>
        <w:ind w:right="0" w:hanging="180"/>
        <w:jc w:val="left"/>
        <w:rPr>
          <w:lang w:val="hu-HU"/>
        </w:rPr>
      </w:pPr>
      <w:hyperlink r:id="rId15">
        <w:r w:rsidRPr="00B068F4">
          <w:rPr>
            <w:color w:val="467886"/>
            <w:sz w:val="20"/>
            <w:u w:val="single" w:color="467886"/>
            <w:lang w:val="hu-HU"/>
          </w:rPr>
          <w:t>https://miau.my</w:t>
        </w:r>
      </w:hyperlink>
      <w:hyperlink r:id="rId16">
        <w:r w:rsidRPr="00B068F4">
          <w:rPr>
            <w:color w:val="467886"/>
            <w:sz w:val="20"/>
            <w:u w:val="single" w:color="467886"/>
            <w:lang w:val="hu-HU"/>
          </w:rPr>
          <w:t>-</w:t>
        </w:r>
      </w:hyperlink>
      <w:hyperlink r:id="rId17">
        <w:r w:rsidRPr="00B068F4">
          <w:rPr>
            <w:color w:val="467886"/>
            <w:sz w:val="20"/>
            <w:u w:val="single" w:color="467886"/>
            <w:lang w:val="hu-HU"/>
          </w:rPr>
          <w:t>x.hu/myx</w:t>
        </w:r>
      </w:hyperlink>
      <w:hyperlink r:id="rId18">
        <w:r w:rsidRPr="00B068F4">
          <w:rPr>
            <w:color w:val="467886"/>
            <w:sz w:val="20"/>
            <w:u w:val="single" w:color="467886"/>
            <w:lang w:val="hu-HU"/>
          </w:rPr>
          <w:t>-</w:t>
        </w:r>
      </w:hyperlink>
      <w:hyperlink r:id="rId19">
        <w:r w:rsidRPr="00B068F4">
          <w:rPr>
            <w:color w:val="467886"/>
            <w:sz w:val="20"/>
            <w:u w:val="single" w:color="467886"/>
            <w:lang w:val="hu-HU"/>
          </w:rPr>
          <w:t>free/coco/index.html</w:t>
        </w:r>
      </w:hyperlink>
      <w:hyperlink r:id="rId20">
        <w:r w:rsidRPr="00B068F4">
          <w:rPr>
            <w:sz w:val="20"/>
            <w:lang w:val="hu-HU"/>
          </w:rPr>
          <w:t xml:space="preserve"> </w:t>
        </w:r>
      </w:hyperlink>
    </w:p>
    <w:p w14:paraId="474E31E8" w14:textId="77777777" w:rsidR="005F3088" w:rsidRPr="00B068F4" w:rsidRDefault="00000000">
      <w:pPr>
        <w:numPr>
          <w:ilvl w:val="0"/>
          <w:numId w:val="3"/>
        </w:numPr>
        <w:spacing w:after="26" w:line="259" w:lineRule="auto"/>
        <w:ind w:right="0" w:hanging="180"/>
        <w:jc w:val="left"/>
        <w:rPr>
          <w:lang w:val="hu-HU"/>
        </w:rPr>
      </w:pPr>
      <w:r w:rsidRPr="00B068F4">
        <w:rPr>
          <w:sz w:val="20"/>
          <w:lang w:val="hu-HU"/>
        </w:rPr>
        <w:t xml:space="preserve">vö. rossz helyzetben [W] romló [T] /javuló [O], jó helyzetben [S] romló [T] / javuló [O] </w:t>
      </w:r>
    </w:p>
    <w:p w14:paraId="1DDD7982" w14:textId="77777777" w:rsidR="005F3088" w:rsidRPr="00B068F4" w:rsidRDefault="00000000">
      <w:pPr>
        <w:numPr>
          <w:ilvl w:val="0"/>
          <w:numId w:val="3"/>
        </w:numPr>
        <w:spacing w:after="26" w:line="259" w:lineRule="auto"/>
        <w:ind w:right="0" w:hanging="180"/>
        <w:jc w:val="left"/>
        <w:rPr>
          <w:lang w:val="hu-HU"/>
        </w:rPr>
      </w:pPr>
      <w:r w:rsidRPr="00B068F4">
        <w:rPr>
          <w:sz w:val="20"/>
          <w:lang w:val="hu-HU"/>
        </w:rPr>
        <w:t xml:space="preserve">https://ec.europa.eu/eurostat/statistics-explained/index.php?title=Main_place_of_work_and_commuting_time__statistics#Commuting_time_for_majority_of_European_workers_is_less_than_30_minutes </w:t>
      </w:r>
    </w:p>
    <w:p w14:paraId="548B3D1A" w14:textId="77777777" w:rsidR="005F3088" w:rsidRPr="00B068F4" w:rsidRDefault="00000000">
      <w:pPr>
        <w:numPr>
          <w:ilvl w:val="0"/>
          <w:numId w:val="3"/>
        </w:numPr>
        <w:spacing w:after="26" w:line="259" w:lineRule="auto"/>
        <w:ind w:right="0" w:hanging="180"/>
        <w:jc w:val="left"/>
        <w:rPr>
          <w:lang w:val="hu-HU"/>
        </w:rPr>
      </w:pPr>
      <w:r w:rsidRPr="00B068F4">
        <w:rPr>
          <w:sz w:val="20"/>
          <w:lang w:val="hu-HU"/>
        </w:rPr>
        <w:t xml:space="preserve">https://www.statista.com/statistics/879251/employees-teleworking-in-the-eu/ </w:t>
      </w:r>
    </w:p>
    <w:p w14:paraId="7CB3F638" w14:textId="77777777" w:rsidR="005F3088" w:rsidRPr="00B068F4" w:rsidRDefault="00000000">
      <w:pPr>
        <w:numPr>
          <w:ilvl w:val="0"/>
          <w:numId w:val="3"/>
        </w:numPr>
        <w:spacing w:after="21" w:line="259" w:lineRule="auto"/>
        <w:ind w:right="0" w:hanging="180"/>
        <w:jc w:val="left"/>
        <w:rPr>
          <w:lang w:val="hu-HU"/>
        </w:rPr>
      </w:pPr>
      <w:hyperlink r:id="rId21">
        <w:r w:rsidRPr="00B068F4">
          <w:rPr>
            <w:color w:val="467886"/>
            <w:sz w:val="20"/>
            <w:u w:val="single" w:color="467886"/>
            <w:lang w:val="hu-HU"/>
          </w:rPr>
          <w:t>https://miau.my</w:t>
        </w:r>
      </w:hyperlink>
      <w:hyperlink r:id="rId22">
        <w:r w:rsidRPr="00B068F4">
          <w:rPr>
            <w:color w:val="467886"/>
            <w:sz w:val="20"/>
            <w:u w:val="single" w:color="467886"/>
            <w:lang w:val="hu-HU"/>
          </w:rPr>
          <w:t>-</w:t>
        </w:r>
      </w:hyperlink>
      <w:hyperlink r:id="rId23">
        <w:r w:rsidRPr="00B068F4">
          <w:rPr>
            <w:color w:val="467886"/>
            <w:sz w:val="20"/>
            <w:u w:val="single" w:color="467886"/>
            <w:lang w:val="hu-HU"/>
          </w:rPr>
          <w:t>x.hu/miau/309/</w:t>
        </w:r>
      </w:hyperlink>
      <w:hyperlink r:id="rId24">
        <w:r w:rsidRPr="00B068F4">
          <w:rPr>
            <w:sz w:val="20"/>
            <w:lang w:val="hu-HU"/>
          </w:rPr>
          <w:t xml:space="preserve"> </w:t>
        </w:r>
      </w:hyperlink>
    </w:p>
    <w:p w14:paraId="1EF9B224" w14:textId="77777777" w:rsidR="005F3088" w:rsidRPr="00B068F4" w:rsidRDefault="00000000">
      <w:pPr>
        <w:numPr>
          <w:ilvl w:val="0"/>
          <w:numId w:val="3"/>
        </w:numPr>
        <w:spacing w:after="26" w:line="259" w:lineRule="auto"/>
        <w:ind w:right="0" w:hanging="180"/>
        <w:jc w:val="left"/>
        <w:rPr>
          <w:lang w:val="hu-HU"/>
        </w:rPr>
      </w:pPr>
      <w:r w:rsidRPr="00B068F4">
        <w:rPr>
          <w:sz w:val="20"/>
          <w:lang w:val="hu-HU"/>
        </w:rPr>
        <w:t xml:space="preserve">"Science is </w:t>
      </w:r>
      <w:proofErr w:type="spellStart"/>
      <w:r w:rsidRPr="00B068F4">
        <w:rPr>
          <w:sz w:val="20"/>
          <w:lang w:val="hu-HU"/>
        </w:rPr>
        <w:t>what</w:t>
      </w:r>
      <w:proofErr w:type="spellEnd"/>
      <w:r w:rsidRPr="00B068F4">
        <w:rPr>
          <w:sz w:val="20"/>
          <w:lang w:val="hu-HU"/>
        </w:rPr>
        <w:t xml:space="preserve"> </w:t>
      </w:r>
      <w:proofErr w:type="spellStart"/>
      <w:r w:rsidRPr="00B068F4">
        <w:rPr>
          <w:sz w:val="20"/>
          <w:lang w:val="hu-HU"/>
        </w:rPr>
        <w:t>we</w:t>
      </w:r>
      <w:proofErr w:type="spellEnd"/>
      <w:r w:rsidRPr="00B068F4">
        <w:rPr>
          <w:sz w:val="20"/>
          <w:lang w:val="hu-HU"/>
        </w:rPr>
        <w:t xml:space="preserve"> </w:t>
      </w:r>
      <w:proofErr w:type="spellStart"/>
      <w:r w:rsidRPr="00B068F4">
        <w:rPr>
          <w:sz w:val="20"/>
          <w:lang w:val="hu-HU"/>
        </w:rPr>
        <w:t>understand</w:t>
      </w:r>
      <w:proofErr w:type="spellEnd"/>
      <w:r w:rsidRPr="00B068F4">
        <w:rPr>
          <w:sz w:val="20"/>
          <w:lang w:val="hu-HU"/>
        </w:rPr>
        <w:t xml:space="preserve"> </w:t>
      </w:r>
      <w:proofErr w:type="spellStart"/>
      <w:r w:rsidRPr="00B068F4">
        <w:rPr>
          <w:sz w:val="20"/>
          <w:lang w:val="hu-HU"/>
        </w:rPr>
        <w:t>well</w:t>
      </w:r>
      <w:proofErr w:type="spellEnd"/>
      <w:r w:rsidRPr="00B068F4">
        <w:rPr>
          <w:sz w:val="20"/>
          <w:lang w:val="hu-HU"/>
        </w:rPr>
        <w:t xml:space="preserve"> </w:t>
      </w:r>
      <w:proofErr w:type="spellStart"/>
      <w:r w:rsidRPr="00B068F4">
        <w:rPr>
          <w:sz w:val="20"/>
          <w:lang w:val="hu-HU"/>
        </w:rPr>
        <w:t>enough</w:t>
      </w:r>
      <w:proofErr w:type="spellEnd"/>
      <w:r w:rsidRPr="00B068F4">
        <w:rPr>
          <w:sz w:val="20"/>
          <w:lang w:val="hu-HU"/>
        </w:rPr>
        <w:t xml:space="preserve"> </w:t>
      </w:r>
      <w:proofErr w:type="spellStart"/>
      <w:r w:rsidRPr="00B068F4">
        <w:rPr>
          <w:sz w:val="20"/>
          <w:lang w:val="hu-HU"/>
        </w:rPr>
        <w:t>to</w:t>
      </w:r>
      <w:proofErr w:type="spellEnd"/>
      <w:r w:rsidRPr="00B068F4">
        <w:rPr>
          <w:sz w:val="20"/>
          <w:lang w:val="hu-HU"/>
        </w:rPr>
        <w:t xml:space="preserve"> </w:t>
      </w:r>
      <w:proofErr w:type="spellStart"/>
      <w:r w:rsidRPr="00B068F4">
        <w:rPr>
          <w:sz w:val="20"/>
          <w:lang w:val="hu-HU"/>
        </w:rPr>
        <w:t>explain</w:t>
      </w:r>
      <w:proofErr w:type="spellEnd"/>
      <w:r w:rsidRPr="00B068F4">
        <w:rPr>
          <w:sz w:val="20"/>
          <w:lang w:val="hu-HU"/>
        </w:rPr>
        <w:t xml:space="preserve"> </w:t>
      </w:r>
      <w:proofErr w:type="spellStart"/>
      <w:r w:rsidRPr="00B068F4">
        <w:rPr>
          <w:sz w:val="20"/>
          <w:lang w:val="hu-HU"/>
        </w:rPr>
        <w:t>to</w:t>
      </w:r>
      <w:proofErr w:type="spellEnd"/>
      <w:r w:rsidRPr="00B068F4">
        <w:rPr>
          <w:sz w:val="20"/>
          <w:lang w:val="hu-HU"/>
        </w:rPr>
        <w:t xml:space="preserve"> a computer. Art is </w:t>
      </w:r>
      <w:proofErr w:type="spellStart"/>
      <w:r w:rsidRPr="00B068F4">
        <w:rPr>
          <w:sz w:val="20"/>
          <w:lang w:val="hu-HU"/>
        </w:rPr>
        <w:t>everything</w:t>
      </w:r>
      <w:proofErr w:type="spellEnd"/>
      <w:r w:rsidRPr="00B068F4">
        <w:rPr>
          <w:sz w:val="20"/>
          <w:lang w:val="hu-HU"/>
        </w:rPr>
        <w:t xml:space="preserve"> </w:t>
      </w:r>
      <w:proofErr w:type="spellStart"/>
      <w:r w:rsidRPr="00B068F4">
        <w:rPr>
          <w:sz w:val="20"/>
          <w:lang w:val="hu-HU"/>
        </w:rPr>
        <w:t>else</w:t>
      </w:r>
      <w:proofErr w:type="spellEnd"/>
      <w:r w:rsidRPr="00B068F4">
        <w:rPr>
          <w:sz w:val="20"/>
          <w:lang w:val="hu-HU"/>
        </w:rPr>
        <w:t xml:space="preserve"> </w:t>
      </w:r>
      <w:proofErr w:type="spellStart"/>
      <w:r w:rsidRPr="00B068F4">
        <w:rPr>
          <w:sz w:val="20"/>
          <w:lang w:val="hu-HU"/>
        </w:rPr>
        <w:t>we</w:t>
      </w:r>
      <w:proofErr w:type="spellEnd"/>
      <w:r w:rsidRPr="00B068F4">
        <w:rPr>
          <w:sz w:val="20"/>
          <w:lang w:val="hu-HU"/>
        </w:rPr>
        <w:t xml:space="preserve"> </w:t>
      </w:r>
      <w:proofErr w:type="spellStart"/>
      <w:r w:rsidRPr="00B068F4">
        <w:rPr>
          <w:sz w:val="20"/>
          <w:lang w:val="hu-HU"/>
        </w:rPr>
        <w:t>do</w:t>
      </w:r>
      <w:proofErr w:type="spellEnd"/>
      <w:r w:rsidRPr="00B068F4">
        <w:rPr>
          <w:sz w:val="20"/>
          <w:lang w:val="hu-HU"/>
        </w:rPr>
        <w:t xml:space="preserve">." </w:t>
      </w:r>
    </w:p>
    <w:sectPr w:rsidR="005F3088" w:rsidRPr="00B068F4">
      <w:pgSz w:w="11906" w:h="16838"/>
      <w:pgMar w:top="1190" w:right="1118" w:bottom="11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E73"/>
    <w:multiLevelType w:val="hybridMultilevel"/>
    <w:tmpl w:val="86C26BA8"/>
    <w:lvl w:ilvl="0" w:tplc="9C667C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C605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8212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2F57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0243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605F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45C6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A7DA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AE76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13120"/>
    <w:multiLevelType w:val="hybridMultilevel"/>
    <w:tmpl w:val="9D6A8106"/>
    <w:lvl w:ilvl="0" w:tplc="68D051C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732F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74207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92B47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8FD2F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7AB026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6BF4F9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CF05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5DB67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4CD42FD0"/>
    <w:multiLevelType w:val="hybridMultilevel"/>
    <w:tmpl w:val="F85C717C"/>
    <w:lvl w:ilvl="0" w:tplc="12301F5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2FB0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E658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8109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C34B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61A3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2BD0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2F05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8533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8187136">
    <w:abstractNumId w:val="0"/>
  </w:num>
  <w:num w:numId="2" w16cid:durableId="1961494140">
    <w:abstractNumId w:val="2"/>
  </w:num>
  <w:num w:numId="3" w16cid:durableId="62372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88"/>
    <w:rsid w:val="005F3088"/>
    <w:rsid w:val="00B0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77E3"/>
  <w15:docId w15:val="{4139CB9F-4236-4E3F-9DE4-49EBAF30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347" w:lineRule="auto"/>
      <w:ind w:left="10" w:right="1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yazat.gov.hu/programok/kozvetlen-unios-programok" TargetMode="External"/><Relationship Id="rId13" Type="http://schemas.openxmlformats.org/officeDocument/2006/relationships/hyperlink" Target="https://miau.my-x.hu/miau/277/szakdoga_PM_final.pdf" TargetMode="External"/><Relationship Id="rId18" Type="http://schemas.openxmlformats.org/officeDocument/2006/relationships/hyperlink" Target="https://miau.my-x.hu/myx-free/coco/index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iau.my-x.hu/miau/309/" TargetMode="External"/><Relationship Id="rId7" Type="http://schemas.openxmlformats.org/officeDocument/2006/relationships/hyperlink" Target="https://www.palyazat.gov.hu/programok/kozvetlen-unios-programok" TargetMode="External"/><Relationship Id="rId12" Type="http://schemas.openxmlformats.org/officeDocument/2006/relationships/hyperlink" Target="https://miau.my-x.hu/miau/277/szakdoga_PM_final.pdf" TargetMode="External"/><Relationship Id="rId17" Type="http://schemas.openxmlformats.org/officeDocument/2006/relationships/hyperlink" Target="https://miau.my-x.hu/myx-free/coco/index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au.my-x.hu/myx-free/coco/index.html" TargetMode="External"/><Relationship Id="rId20" Type="http://schemas.openxmlformats.org/officeDocument/2006/relationships/hyperlink" Target="https://miau.my-x.hu/myx-free/coco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lyazat.gov.hu/programok/kozvetlen-unios-programok" TargetMode="External"/><Relationship Id="rId11" Type="http://schemas.openxmlformats.org/officeDocument/2006/relationships/hyperlink" Target="https://miau.my-x.hu/miau/277/szakdoga_PM_final.pdf" TargetMode="External"/><Relationship Id="rId24" Type="http://schemas.openxmlformats.org/officeDocument/2006/relationships/hyperlink" Target="https://miau.my-x.hu/miau/309/" TargetMode="External"/><Relationship Id="rId5" Type="http://schemas.openxmlformats.org/officeDocument/2006/relationships/hyperlink" Target="https://www.palyazat.gov.hu/programok/kozvetlen-unios-programok" TargetMode="External"/><Relationship Id="rId15" Type="http://schemas.openxmlformats.org/officeDocument/2006/relationships/hyperlink" Target="https://miau.my-x.hu/myx-free/coco/index.html" TargetMode="External"/><Relationship Id="rId23" Type="http://schemas.openxmlformats.org/officeDocument/2006/relationships/hyperlink" Target="https://miau.my-x.hu/miau/309/" TargetMode="External"/><Relationship Id="rId10" Type="http://schemas.openxmlformats.org/officeDocument/2006/relationships/hyperlink" Target="https://www.palyazat.gov.hu/programok/kozvetlen-unios-programok" TargetMode="External"/><Relationship Id="rId19" Type="http://schemas.openxmlformats.org/officeDocument/2006/relationships/hyperlink" Target="https://miau.my-x.hu/myx-free/coco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lyazat.gov.hu/programok/kozvetlen-unios-programok" TargetMode="External"/><Relationship Id="rId14" Type="http://schemas.openxmlformats.org/officeDocument/2006/relationships/hyperlink" Target="https://miau.my-x.hu/miau/277/szakdoga_PM_final.pdf" TargetMode="External"/><Relationship Id="rId22" Type="http://schemas.openxmlformats.org/officeDocument/2006/relationships/hyperlink" Target="https://miau.my-x.hu/miau/309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Dora</dc:creator>
  <cp:keywords/>
  <cp:lastModifiedBy>Lttd</cp:lastModifiedBy>
  <cp:revision>2</cp:revision>
  <dcterms:created xsi:type="dcterms:W3CDTF">2024-05-27T09:44:00Z</dcterms:created>
  <dcterms:modified xsi:type="dcterms:W3CDTF">2024-05-27T09:44:00Z</dcterms:modified>
</cp:coreProperties>
</file>