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7755" w14:textId="77777777" w:rsidR="00E13D9D" w:rsidRDefault="00E27C4C">
      <w:pPr>
        <w:pStyle w:val="ReportTitle"/>
      </w:pPr>
      <w:r>
        <w:t>Report on Structural and Numbering Inconsistencies</w:t>
      </w:r>
      <w:r>
        <w:br/>
        <w:t>Identified in the Benchmark Thesis</w:t>
      </w:r>
    </w:p>
    <w:p w14:paraId="6F87CBA5" w14:textId="77777777" w:rsidR="00E13D9D" w:rsidRDefault="00E27C4C">
      <w:pPr>
        <w:pStyle w:val="ReportSubtitle"/>
      </w:pPr>
      <w:r>
        <w:t>Formal evaluative report prepared for benchmark-thesis review</w:t>
      </w:r>
    </w:p>
    <w:p w14:paraId="479C7BFE" w14:textId="77777777" w:rsidR="00E13D9D" w:rsidRDefault="00E27C4C">
      <w:pPr>
        <w:spacing w:after="360"/>
        <w:jc w:val="center"/>
      </w:pPr>
      <w:r>
        <w:rPr>
          <w:i/>
          <w:color w:val="5A5A5A"/>
          <w:sz w:val="22"/>
        </w:rPr>
        <w:t>Focus of review: heading hierarchy, chapter logic, numbering consistency, and caption formatting</w:t>
      </w:r>
    </w:p>
    <w:p w14:paraId="594D8D46" w14:textId="77777777" w:rsidR="00E13D9D" w:rsidRDefault="00E13D9D">
      <w:pPr>
        <w:pBdr>
          <w:bottom w:val="single" w:sz="8" w:space="1" w:color="8FAADC"/>
        </w:pBdr>
        <w:spacing w:after="360"/>
        <w:jc w:val="center"/>
      </w:pPr>
    </w:p>
    <w:tbl>
      <w:tblPr>
        <w:tblStyle w:val="TableGrid"/>
        <w:tblW w:w="0" w:type="auto"/>
        <w:tblLayout w:type="fixed"/>
        <w:tblLook w:val="04A0" w:firstRow="1" w:lastRow="0" w:firstColumn="1" w:lastColumn="0" w:noHBand="0" w:noVBand="1"/>
      </w:tblPr>
      <w:tblGrid>
        <w:gridCol w:w="2399"/>
        <w:gridCol w:w="5598"/>
      </w:tblGrid>
      <w:tr w:rsidR="00E13D9D" w14:paraId="3A1D6121" w14:textId="77777777" w:rsidTr="00D475A4">
        <w:trPr>
          <w:trHeight w:val="393"/>
        </w:trPr>
        <w:tc>
          <w:tcPr>
            <w:tcW w:w="2399" w:type="dxa"/>
            <w:shd w:val="clear" w:color="auto" w:fill="EAF1FB"/>
          </w:tcPr>
          <w:p w14:paraId="0F3193A5" w14:textId="77777777" w:rsidR="00E13D9D" w:rsidRDefault="00E27C4C">
            <w:pPr>
              <w:spacing w:before="60" w:after="60"/>
            </w:pPr>
            <w:r>
              <w:rPr>
                <w:b/>
                <w:color w:val="1F1F1F"/>
                <w:sz w:val="22"/>
              </w:rPr>
              <w:t>Document type</w:t>
            </w:r>
          </w:p>
        </w:tc>
        <w:tc>
          <w:tcPr>
            <w:tcW w:w="5598" w:type="dxa"/>
            <w:shd w:val="clear" w:color="auto" w:fill="F7F9FC"/>
          </w:tcPr>
          <w:p w14:paraId="7BF9D2EA" w14:textId="6193B018" w:rsidR="00E13D9D" w:rsidRDefault="00E27C4C">
            <w:pPr>
              <w:spacing w:before="60" w:after="60"/>
            </w:pPr>
            <w:r>
              <w:rPr>
                <w:color w:val="1F1F1F"/>
                <w:sz w:val="22"/>
              </w:rPr>
              <w:t xml:space="preserve"> formal report</w:t>
            </w:r>
          </w:p>
        </w:tc>
      </w:tr>
      <w:tr w:rsidR="00E13D9D" w14:paraId="7E9DC774" w14:textId="77777777" w:rsidTr="00D475A4">
        <w:trPr>
          <w:trHeight w:val="660"/>
        </w:trPr>
        <w:tc>
          <w:tcPr>
            <w:tcW w:w="2399" w:type="dxa"/>
            <w:shd w:val="clear" w:color="auto" w:fill="EAF1FB"/>
          </w:tcPr>
          <w:p w14:paraId="14240E3A" w14:textId="77777777" w:rsidR="00E13D9D" w:rsidRDefault="00E27C4C">
            <w:pPr>
              <w:spacing w:before="60" w:after="60"/>
            </w:pPr>
            <w:r>
              <w:rPr>
                <w:b/>
                <w:color w:val="1F1F1F"/>
                <w:sz w:val="22"/>
              </w:rPr>
              <w:t>Purpose</w:t>
            </w:r>
          </w:p>
        </w:tc>
        <w:tc>
          <w:tcPr>
            <w:tcW w:w="5598" w:type="dxa"/>
            <w:shd w:val="clear" w:color="auto" w:fill="F7F9FC"/>
          </w:tcPr>
          <w:p w14:paraId="46427560" w14:textId="77777777" w:rsidR="00E13D9D" w:rsidRDefault="00E27C4C">
            <w:pPr>
              <w:spacing w:before="60" w:after="60"/>
            </w:pPr>
            <w:r>
              <w:rPr>
                <w:color w:val="1F1F1F"/>
                <w:sz w:val="22"/>
              </w:rPr>
              <w:t>To identify visible structural weaknesses in the benchmark thesis</w:t>
            </w:r>
          </w:p>
        </w:tc>
      </w:tr>
      <w:tr w:rsidR="00E13D9D" w14:paraId="2A0EA289" w14:textId="77777777" w:rsidTr="00D475A4">
        <w:trPr>
          <w:trHeight w:val="660"/>
        </w:trPr>
        <w:tc>
          <w:tcPr>
            <w:tcW w:w="2399" w:type="dxa"/>
            <w:shd w:val="clear" w:color="auto" w:fill="EAF1FB"/>
          </w:tcPr>
          <w:p w14:paraId="05F99658" w14:textId="77777777" w:rsidR="00E13D9D" w:rsidRDefault="00E27C4C">
            <w:pPr>
              <w:spacing w:before="60" w:after="60"/>
            </w:pPr>
            <w:r>
              <w:rPr>
                <w:b/>
                <w:color w:val="1F1F1F"/>
                <w:sz w:val="22"/>
              </w:rPr>
              <w:t>Review emphasis</w:t>
            </w:r>
          </w:p>
        </w:tc>
        <w:tc>
          <w:tcPr>
            <w:tcW w:w="5598" w:type="dxa"/>
            <w:shd w:val="clear" w:color="auto" w:fill="F7F9FC"/>
          </w:tcPr>
          <w:p w14:paraId="53096258" w14:textId="77777777" w:rsidR="00E13D9D" w:rsidRDefault="00E27C4C">
            <w:pPr>
              <w:spacing w:before="60" w:after="60"/>
            </w:pPr>
            <w:r>
              <w:rPr>
                <w:color w:val="1F1F1F"/>
                <w:sz w:val="22"/>
              </w:rPr>
              <w:t>Structure mismatch, heading hierarchy, numbering logic, and formal consistency</w:t>
            </w:r>
          </w:p>
        </w:tc>
      </w:tr>
      <w:tr w:rsidR="00E13D9D" w14:paraId="17FBD333" w14:textId="77777777" w:rsidTr="00D475A4">
        <w:trPr>
          <w:trHeight w:val="454"/>
        </w:trPr>
        <w:tc>
          <w:tcPr>
            <w:tcW w:w="2399" w:type="dxa"/>
            <w:shd w:val="clear" w:color="auto" w:fill="EAF1FB"/>
          </w:tcPr>
          <w:p w14:paraId="0E7E3013" w14:textId="77777777" w:rsidR="00E13D9D" w:rsidRDefault="00E27C4C">
            <w:pPr>
              <w:spacing w:before="60" w:after="60"/>
            </w:pPr>
            <w:r>
              <w:rPr>
                <w:b/>
                <w:color w:val="1F1F1F"/>
                <w:sz w:val="22"/>
              </w:rPr>
              <w:t>Prepared on</w:t>
            </w:r>
          </w:p>
        </w:tc>
        <w:tc>
          <w:tcPr>
            <w:tcW w:w="5598" w:type="dxa"/>
            <w:shd w:val="clear" w:color="auto" w:fill="F7F9FC"/>
          </w:tcPr>
          <w:p w14:paraId="1A06F543" w14:textId="77777777" w:rsidR="00E13D9D" w:rsidRDefault="00E27C4C">
            <w:pPr>
              <w:spacing w:before="60" w:after="60"/>
            </w:pPr>
            <w:r>
              <w:rPr>
                <w:color w:val="1F1F1F"/>
                <w:sz w:val="22"/>
              </w:rPr>
              <w:t>13 March 2026</w:t>
            </w:r>
          </w:p>
        </w:tc>
      </w:tr>
      <w:tr w:rsidR="00D475A4" w14:paraId="4BB969BE" w14:textId="77777777" w:rsidTr="00D475A4">
        <w:trPr>
          <w:trHeight w:val="454"/>
        </w:trPr>
        <w:tc>
          <w:tcPr>
            <w:tcW w:w="2399" w:type="dxa"/>
            <w:shd w:val="clear" w:color="auto" w:fill="EAF1FB"/>
          </w:tcPr>
          <w:p w14:paraId="32704B86" w14:textId="354B4D66" w:rsidR="00D475A4" w:rsidRDefault="00D475A4">
            <w:pPr>
              <w:spacing w:before="60" w:after="60"/>
              <w:rPr>
                <w:b/>
                <w:color w:val="1F1F1F"/>
                <w:sz w:val="22"/>
              </w:rPr>
            </w:pPr>
            <w:r w:rsidRPr="00D475A4">
              <w:rPr>
                <w:b/>
                <w:color w:val="1F1F1F"/>
                <w:sz w:val="22"/>
              </w:rPr>
              <w:t>Review prepared by</w:t>
            </w:r>
          </w:p>
        </w:tc>
        <w:tc>
          <w:tcPr>
            <w:tcW w:w="5598" w:type="dxa"/>
            <w:shd w:val="clear" w:color="auto" w:fill="F7F9FC"/>
          </w:tcPr>
          <w:p w14:paraId="190E1146" w14:textId="78309A64" w:rsidR="00D475A4" w:rsidRDefault="00D475A4">
            <w:pPr>
              <w:spacing w:before="60" w:after="60"/>
              <w:rPr>
                <w:color w:val="1F1F1F"/>
                <w:sz w:val="22"/>
              </w:rPr>
            </w:pPr>
            <w:r>
              <w:rPr>
                <w:color w:val="1F1F1F"/>
                <w:sz w:val="22"/>
              </w:rPr>
              <w:t>Sukh-Ochir Dulguun /DKRV8N</w:t>
            </w:r>
          </w:p>
        </w:tc>
      </w:tr>
    </w:tbl>
    <w:p w14:paraId="32E2066C" w14:textId="77777777" w:rsidR="00E13D9D" w:rsidRDefault="00E13D9D"/>
    <w:p w14:paraId="241D2E3C" w14:textId="77777777" w:rsidR="00E13D9D" w:rsidRDefault="00E13D9D"/>
    <w:p w14:paraId="0E8374D7" w14:textId="77777777" w:rsidR="00E13D9D" w:rsidRDefault="00E27C4C">
      <w:pPr>
        <w:spacing w:before="600"/>
        <w:jc w:val="center"/>
      </w:pPr>
      <w:r>
        <w:rPr>
          <w:i/>
          <w:color w:val="666666"/>
          <w:sz w:val="22"/>
        </w:rPr>
        <w:t xml:space="preserve">This report </w:t>
      </w:r>
      <w:r>
        <w:rPr>
          <w:i/>
          <w:color w:val="666666"/>
          <w:sz w:val="22"/>
        </w:rPr>
        <w:t>evaluates the formal organization of the benchmark thesis rather than its full technical contribution.</w:t>
      </w:r>
    </w:p>
    <w:p w14:paraId="642602B1" w14:textId="77777777" w:rsidR="00E13D9D" w:rsidRDefault="00E27C4C">
      <w:r>
        <w:br w:type="page"/>
      </w:r>
    </w:p>
    <w:p w14:paraId="21422F0C" w14:textId="77777777" w:rsidR="00E13D9D" w:rsidRDefault="00E27C4C">
      <w:pPr>
        <w:pStyle w:val="SectionHeading"/>
      </w:pPr>
      <w:r>
        <w:lastRenderedPageBreak/>
        <w:t>Introduction</w:t>
      </w:r>
    </w:p>
    <w:p w14:paraId="0313A4AC" w14:textId="77777777" w:rsidR="00E13D9D" w:rsidRDefault="00E27C4C">
      <w:pPr>
        <w:spacing w:after="120" w:line="360" w:lineRule="auto"/>
        <w:ind w:firstLine="357"/>
        <w:jc w:val="both"/>
      </w:pPr>
      <w:r>
        <w:t xml:space="preserve">The present report evaluates the benchmark thesis that was designated as a reference point for subsequent submissions. The purpose of the </w:t>
      </w:r>
      <w:r>
        <w:t>review is not to dispute the benchmark status of the document as a whole, but to identify visible rule-breaking situations and formal weaknesses that should be acknowledged critically. The analysis focuses on structural coherence, chapter hierarchy, number</w:t>
      </w:r>
      <w:r>
        <w:t>ing consistency, and caption presentation, because these elements are immediately observable and directly affect the formal credibility of an academic thesis. A benchmark thesis should not only contain substantial material, but should also demonstrate disc</w:t>
      </w:r>
      <w:r>
        <w:t>iplined organization and stable document architecture.</w:t>
      </w:r>
    </w:p>
    <w:p w14:paraId="23A10EA3" w14:textId="77777777" w:rsidR="00E13D9D" w:rsidRDefault="00E13D9D"/>
    <w:tbl>
      <w:tblPr>
        <w:tblStyle w:val="TableGrid"/>
        <w:tblW w:w="0" w:type="auto"/>
        <w:tblLayout w:type="fixed"/>
        <w:tblLook w:val="04A0" w:firstRow="1" w:lastRow="0" w:firstColumn="1" w:lastColumn="0" w:noHBand="0" w:noVBand="1"/>
      </w:tblPr>
      <w:tblGrid>
        <w:gridCol w:w="1701"/>
        <w:gridCol w:w="3969"/>
        <w:gridCol w:w="3402"/>
      </w:tblGrid>
      <w:tr w:rsidR="00E13D9D" w14:paraId="474A1D29" w14:textId="77777777">
        <w:tc>
          <w:tcPr>
            <w:tcW w:w="1701" w:type="dxa"/>
            <w:shd w:val="clear" w:color="auto" w:fill="D9EAF7"/>
          </w:tcPr>
          <w:p w14:paraId="74BB46E0" w14:textId="77777777" w:rsidR="00E13D9D" w:rsidRDefault="00E27C4C">
            <w:pPr>
              <w:spacing w:before="60" w:after="60"/>
              <w:jc w:val="center"/>
            </w:pPr>
            <w:r>
              <w:rPr>
                <w:b/>
                <w:sz w:val="22"/>
              </w:rPr>
              <w:t>Area</w:t>
            </w:r>
          </w:p>
        </w:tc>
        <w:tc>
          <w:tcPr>
            <w:tcW w:w="3969" w:type="dxa"/>
            <w:shd w:val="clear" w:color="auto" w:fill="D9EAF7"/>
          </w:tcPr>
          <w:p w14:paraId="4F9AF10A" w14:textId="77777777" w:rsidR="00E13D9D" w:rsidRDefault="00E27C4C">
            <w:pPr>
              <w:spacing w:before="60" w:after="60"/>
              <w:jc w:val="center"/>
            </w:pPr>
            <w:r>
              <w:rPr>
                <w:b/>
                <w:sz w:val="22"/>
              </w:rPr>
              <w:t>Observed example</w:t>
            </w:r>
          </w:p>
        </w:tc>
        <w:tc>
          <w:tcPr>
            <w:tcW w:w="3402" w:type="dxa"/>
            <w:shd w:val="clear" w:color="auto" w:fill="D9EAF7"/>
          </w:tcPr>
          <w:p w14:paraId="061DFB9B" w14:textId="77777777" w:rsidR="00E13D9D" w:rsidRDefault="00E27C4C">
            <w:pPr>
              <w:spacing w:before="60" w:after="60"/>
              <w:jc w:val="center"/>
            </w:pPr>
            <w:r>
              <w:rPr>
                <w:b/>
                <w:sz w:val="22"/>
              </w:rPr>
              <w:t>Why it matters</w:t>
            </w:r>
          </w:p>
        </w:tc>
      </w:tr>
      <w:tr w:rsidR="00E13D9D" w14:paraId="1C2EEE25" w14:textId="77777777">
        <w:tc>
          <w:tcPr>
            <w:tcW w:w="1701" w:type="dxa"/>
            <w:shd w:val="clear" w:color="auto" w:fill="F1F6FB"/>
          </w:tcPr>
          <w:p w14:paraId="014D7C0D" w14:textId="77777777" w:rsidR="00E13D9D" w:rsidRDefault="00E27C4C">
            <w:pPr>
              <w:spacing w:before="60" w:after="60"/>
              <w:jc w:val="center"/>
            </w:pPr>
            <w:r>
              <w:rPr>
                <w:sz w:val="21"/>
              </w:rPr>
              <w:t>Table of contents numbering</w:t>
            </w:r>
          </w:p>
        </w:tc>
        <w:tc>
          <w:tcPr>
            <w:tcW w:w="3969" w:type="dxa"/>
            <w:shd w:val="clear" w:color="auto" w:fill="F8FBFE"/>
          </w:tcPr>
          <w:p w14:paraId="149C9D26" w14:textId="77777777" w:rsidR="00E13D9D" w:rsidRDefault="00E27C4C">
            <w:pPr>
              <w:spacing w:before="60" w:after="60"/>
            </w:pPr>
            <w:r>
              <w:rPr>
                <w:sz w:val="21"/>
              </w:rPr>
              <w:t>Entries such as "Chapter1", "Chapter1.1", and "Chapter2.8" appear without a space after "Chapter".</w:t>
            </w:r>
          </w:p>
        </w:tc>
        <w:tc>
          <w:tcPr>
            <w:tcW w:w="3402" w:type="dxa"/>
            <w:shd w:val="clear" w:color="auto" w:fill="F8FBFE"/>
          </w:tcPr>
          <w:p w14:paraId="5745648A" w14:textId="77777777" w:rsidR="00E13D9D" w:rsidRDefault="00E27C4C">
            <w:pPr>
              <w:spacing w:before="60" w:after="60"/>
            </w:pPr>
            <w:r>
              <w:rPr>
                <w:sz w:val="21"/>
              </w:rPr>
              <w:t>This suggests unresolved automatic-</w:t>
            </w:r>
            <w:r>
              <w:rPr>
                <w:sz w:val="21"/>
              </w:rPr>
              <w:t>numbering or style inconsistency and weakens professional presentation.</w:t>
            </w:r>
          </w:p>
        </w:tc>
      </w:tr>
      <w:tr w:rsidR="00E13D9D" w14:paraId="566CEEDD" w14:textId="77777777">
        <w:tc>
          <w:tcPr>
            <w:tcW w:w="1701" w:type="dxa"/>
            <w:shd w:val="clear" w:color="auto" w:fill="F1F6FB"/>
          </w:tcPr>
          <w:p w14:paraId="4F72C1BB" w14:textId="77777777" w:rsidR="00E13D9D" w:rsidRDefault="00E27C4C">
            <w:pPr>
              <w:spacing w:before="60" w:after="60"/>
              <w:jc w:val="center"/>
            </w:pPr>
            <w:r>
              <w:rPr>
                <w:sz w:val="21"/>
              </w:rPr>
              <w:t>Misplaced subsection nesting</w:t>
            </w:r>
          </w:p>
        </w:tc>
        <w:tc>
          <w:tcPr>
            <w:tcW w:w="3969" w:type="dxa"/>
            <w:shd w:val="clear" w:color="auto" w:fill="F8FBFE"/>
          </w:tcPr>
          <w:p w14:paraId="007EF6EF" w14:textId="77777777" w:rsidR="00E13D9D" w:rsidRDefault="00E27C4C">
            <w:pPr>
              <w:spacing w:before="60" w:after="60"/>
            </w:pPr>
            <w:r>
              <w:rPr>
                <w:sz w:val="21"/>
              </w:rPr>
              <w:t>"Scope and Delimitations" and "Document Conventions and Formatting" are placed under "Chapter Outline".</w:t>
            </w:r>
          </w:p>
        </w:tc>
        <w:tc>
          <w:tcPr>
            <w:tcW w:w="3402" w:type="dxa"/>
            <w:shd w:val="clear" w:color="auto" w:fill="F8FBFE"/>
          </w:tcPr>
          <w:p w14:paraId="21D3D3B1" w14:textId="77777777" w:rsidR="00E13D9D" w:rsidRDefault="00E27C4C">
            <w:pPr>
              <w:spacing w:before="60" w:after="60"/>
            </w:pPr>
            <w:r>
              <w:rPr>
                <w:sz w:val="21"/>
              </w:rPr>
              <w:t xml:space="preserve">The parent heading does not accurately </w:t>
            </w:r>
            <w:r>
              <w:rPr>
                <w:sz w:val="21"/>
              </w:rPr>
              <w:t>describe the content of its children, which creates hierarchy mismatch.</w:t>
            </w:r>
          </w:p>
        </w:tc>
      </w:tr>
      <w:tr w:rsidR="00E13D9D" w14:paraId="0344EDB8" w14:textId="77777777">
        <w:tc>
          <w:tcPr>
            <w:tcW w:w="1701" w:type="dxa"/>
            <w:shd w:val="clear" w:color="auto" w:fill="F1F6FB"/>
          </w:tcPr>
          <w:p w14:paraId="2C147728" w14:textId="77777777" w:rsidR="00E13D9D" w:rsidRDefault="00E27C4C">
            <w:pPr>
              <w:spacing w:before="60" w:after="60"/>
              <w:jc w:val="center"/>
            </w:pPr>
            <w:r>
              <w:rPr>
                <w:sz w:val="21"/>
              </w:rPr>
              <w:t>Over-fragmented chapter structure</w:t>
            </w:r>
          </w:p>
        </w:tc>
        <w:tc>
          <w:tcPr>
            <w:tcW w:w="3969" w:type="dxa"/>
            <w:shd w:val="clear" w:color="auto" w:fill="F8FBFE"/>
          </w:tcPr>
          <w:p w14:paraId="282BF3AD" w14:textId="77777777" w:rsidR="00E13D9D" w:rsidRDefault="00E27C4C">
            <w:pPr>
              <w:spacing w:before="60" w:after="60"/>
            </w:pPr>
            <w:r>
              <w:rPr>
                <w:sz w:val="21"/>
              </w:rPr>
              <w:t>"Subjects and the Thesis" expands into a long chain of micro-subsections.</w:t>
            </w:r>
          </w:p>
        </w:tc>
        <w:tc>
          <w:tcPr>
            <w:tcW w:w="3402" w:type="dxa"/>
            <w:shd w:val="clear" w:color="auto" w:fill="F8FBFE"/>
          </w:tcPr>
          <w:p w14:paraId="39300BE4" w14:textId="77777777" w:rsidR="00E13D9D" w:rsidRDefault="00E27C4C">
            <w:pPr>
              <w:spacing w:before="60" w:after="60"/>
            </w:pPr>
            <w:r>
              <w:rPr>
                <w:sz w:val="21"/>
              </w:rPr>
              <w:t>Excessive subdivision produces numbering inflation and reduces structural c</w:t>
            </w:r>
            <w:r>
              <w:rPr>
                <w:sz w:val="21"/>
              </w:rPr>
              <w:t>larity.</w:t>
            </w:r>
          </w:p>
        </w:tc>
      </w:tr>
      <w:tr w:rsidR="00E13D9D" w14:paraId="5061B779" w14:textId="77777777">
        <w:tc>
          <w:tcPr>
            <w:tcW w:w="1701" w:type="dxa"/>
            <w:shd w:val="clear" w:color="auto" w:fill="F1F6FB"/>
          </w:tcPr>
          <w:p w14:paraId="06604EB0" w14:textId="77777777" w:rsidR="00E13D9D" w:rsidRDefault="00E27C4C">
            <w:pPr>
              <w:spacing w:before="60" w:after="60"/>
              <w:jc w:val="center"/>
            </w:pPr>
            <w:r>
              <w:rPr>
                <w:sz w:val="21"/>
              </w:rPr>
              <w:t>Heading punctuation</w:t>
            </w:r>
          </w:p>
        </w:tc>
        <w:tc>
          <w:tcPr>
            <w:tcW w:w="3969" w:type="dxa"/>
            <w:shd w:val="clear" w:color="auto" w:fill="F8FBFE"/>
          </w:tcPr>
          <w:p w14:paraId="37B77B2D" w14:textId="77777777" w:rsidR="00E13D9D" w:rsidRDefault="00E27C4C">
            <w:pPr>
              <w:spacing w:before="60" w:after="60"/>
            </w:pPr>
            <w:r>
              <w:rPr>
                <w:sz w:val="21"/>
              </w:rPr>
              <w:t>Titles such as "Alignment-Based Tools : BLAST" and "System Operation : Sysadmin basics" use inconsistent colon spacing.</w:t>
            </w:r>
          </w:p>
        </w:tc>
        <w:tc>
          <w:tcPr>
            <w:tcW w:w="3402" w:type="dxa"/>
            <w:shd w:val="clear" w:color="auto" w:fill="F8FBFE"/>
          </w:tcPr>
          <w:p w14:paraId="14FD3187" w14:textId="77777777" w:rsidR="00E13D9D" w:rsidRDefault="00E27C4C">
            <w:pPr>
              <w:spacing w:before="60" w:after="60"/>
            </w:pPr>
            <w:r>
              <w:rPr>
                <w:sz w:val="21"/>
              </w:rPr>
              <w:t>Heading punctuation is part of formal standardization and should remain uniform throughout the thesis.</w:t>
            </w:r>
          </w:p>
        </w:tc>
      </w:tr>
    </w:tbl>
    <w:p w14:paraId="4FC875F9" w14:textId="77777777" w:rsidR="00E13D9D" w:rsidRDefault="00E13D9D"/>
    <w:p w14:paraId="5862A334" w14:textId="77777777" w:rsidR="00E13D9D" w:rsidRDefault="00E27C4C">
      <w:pPr>
        <w:pStyle w:val="SectionHeading"/>
      </w:pPr>
      <w:r>
        <w:t>Structural Coherence of the Chapter System</w:t>
      </w:r>
    </w:p>
    <w:p w14:paraId="5B1BE23F" w14:textId="77777777" w:rsidR="00E13D9D" w:rsidRDefault="00E27C4C">
      <w:pPr>
        <w:spacing w:after="120" w:line="360" w:lineRule="auto"/>
        <w:ind w:firstLine="357"/>
        <w:jc w:val="both"/>
      </w:pPr>
      <w:r>
        <w:t>The first major issue concerns the internal structure of the chapter system. The introductory chapter is highly fragmented, with numerous parallel subsections that separate closely related elements into isolated u</w:t>
      </w:r>
      <w:r>
        <w:t>nits. Sections on aims, objectives, tasks, target groups, utilities, motivation, and chapter outline are all presented as discrete structural blocks, although several of them could be merged without any loss of meaning. This produces numbering inflation an</w:t>
      </w:r>
      <w:r>
        <w:t>d gives the appearance of formal complexity without proportional analytical benefit. In a benchmark thesis, structure should reflect intellectual necessity rather than mechanical subdivision.</w:t>
      </w:r>
    </w:p>
    <w:p w14:paraId="57C37B5A" w14:textId="77777777" w:rsidR="00E13D9D" w:rsidRDefault="00E27C4C">
      <w:pPr>
        <w:spacing w:after="120" w:line="360" w:lineRule="auto"/>
        <w:ind w:firstLine="357"/>
        <w:jc w:val="both"/>
      </w:pPr>
      <w:r>
        <w:lastRenderedPageBreak/>
        <w:t xml:space="preserve">A clearer structure problem appears where material of different </w:t>
      </w:r>
      <w:r>
        <w:t>function is placed under a single parent heading. The subsection labelled "Chapter Outline" contains elements such as scope and delimitations and document conventions, which are not outline components in the strict sense. This weakens the logic of the hier</w:t>
      </w:r>
      <w:r>
        <w:t>archy because the parent heading no longer describes the semantic role of its subsections accurately. Academic structure should preserve a clear whole-part relationship at every heading level.</w:t>
      </w:r>
    </w:p>
    <w:p w14:paraId="01601E31" w14:textId="77777777" w:rsidR="00E13D9D" w:rsidRDefault="00E27C4C">
      <w:pPr>
        <w:pStyle w:val="SectionHeading"/>
      </w:pPr>
      <w:r>
        <w:t>Mismatch Between Chapter Purpose and Actual Content</w:t>
      </w:r>
    </w:p>
    <w:p w14:paraId="5F72DFE4" w14:textId="77777777" w:rsidR="00E13D9D" w:rsidRDefault="00E27C4C">
      <w:pPr>
        <w:spacing w:after="120" w:line="360" w:lineRule="auto"/>
        <w:ind w:firstLine="357"/>
        <w:jc w:val="both"/>
      </w:pPr>
      <w:r>
        <w:t xml:space="preserve">A </w:t>
      </w:r>
      <w:r>
        <w:t>second weakness concerns the mismatch between chapter purpose and actual content. The literature-review section does not remain consistently focused on prior scholarship, conceptual background, and research gaps. Instead, the table of contents shows a late</w:t>
      </w:r>
      <w:r>
        <w:t>r shift toward curricular mapping through the section "Subjects and the Thesis", followed by a long sequence of discipline-specific subsections. While such material may have contextual value, it does not operate as literature review in the academic sense a</w:t>
      </w:r>
      <w:r>
        <w:t>nd therefore disrupts the expected logic of the chapter.</w:t>
      </w:r>
    </w:p>
    <w:p w14:paraId="55042078" w14:textId="77777777" w:rsidR="00E13D9D" w:rsidRDefault="00E27C4C">
      <w:pPr>
        <w:spacing w:after="120" w:line="360" w:lineRule="auto"/>
        <w:ind w:firstLine="357"/>
        <w:jc w:val="both"/>
      </w:pPr>
      <w:r>
        <w:t>This issue is not merely stylistic. Chapter titles establish formal expectations for the reader, and those expectations should be fulfilled consistently. When one chapter mixes literature synthesis w</w:t>
      </w:r>
      <w:r>
        <w:t>ith institutional or curricular justification, the document risks appearing thematically unstable. A benchmark thesis should model accurate categorization of material according to chapter function, especially when its structure may influence how later thes</w:t>
      </w:r>
      <w:r>
        <w:t>es are judged.</w:t>
      </w:r>
    </w:p>
    <w:p w14:paraId="1A5E7D74" w14:textId="77777777" w:rsidR="00E13D9D" w:rsidRDefault="00E27C4C">
      <w:pPr>
        <w:pStyle w:val="SectionHeading"/>
      </w:pPr>
      <w:r>
        <w:t>Heading Hierarchy and Numbering Logic</w:t>
      </w:r>
    </w:p>
    <w:p w14:paraId="35FF8729" w14:textId="77777777" w:rsidR="00E13D9D" w:rsidRDefault="00E27C4C">
      <w:pPr>
        <w:spacing w:after="120" w:line="360" w:lineRule="auto"/>
        <w:ind w:firstLine="357"/>
        <w:jc w:val="both"/>
      </w:pPr>
      <w:r>
        <w:t xml:space="preserve">The heading-numbering system itself shows visible inconsistency. In the table of contents, chapter labels appear as "Chapter1", "Chapter1.1", and "Chapter2.8" rather than the standard forms "Chapter 1", </w:t>
      </w:r>
      <w:r>
        <w:t>"Chapter 1.1", and "Chapter 2.8". This is most likely the result of unresolved automatic-numbering or style formatting, yet the effect is still significant because numbering is part of the formal surface of the thesis. A benchmark document should display m</w:t>
      </w:r>
      <w:r>
        <w:t>echanically consistent chapter labels in both the contents page and the main text.</w:t>
      </w:r>
    </w:p>
    <w:p w14:paraId="26F0F654" w14:textId="77777777" w:rsidR="00E13D9D" w:rsidRDefault="00E27C4C">
      <w:pPr>
        <w:spacing w:after="120" w:line="360" w:lineRule="auto"/>
        <w:ind w:firstLine="357"/>
        <w:jc w:val="both"/>
      </w:pPr>
      <w:r>
        <w:t xml:space="preserve">The hierarchy also becomes difficult to navigate when a chapter contains too many narrow third-level subsections with limited analytical distinction. The extended branching </w:t>
      </w:r>
      <w:r>
        <w:t xml:space="preserve">under </w:t>
      </w:r>
      <w:r>
        <w:lastRenderedPageBreak/>
        <w:t>"Subjects and the Thesis" is a clear example of this problem. Such fine-grained numbering can create the impression of order, but in practice it often reduces readability and obscures the truly important structural divisions. Where the material is pr</w:t>
      </w:r>
      <w:r>
        <w:t>imarily classificatory, a compact table or annex would often be more appropriate than a long chain of numbered subsections.</w:t>
      </w:r>
    </w:p>
    <w:p w14:paraId="0526C478" w14:textId="77777777" w:rsidR="00E13D9D" w:rsidRDefault="00E27C4C">
      <w:pPr>
        <w:pStyle w:val="SectionHeading"/>
      </w:pPr>
      <w:r>
        <w:t>Captioning, Punctuation, and Formal Standardization</w:t>
      </w:r>
    </w:p>
    <w:p w14:paraId="3B4BDBCD" w14:textId="77777777" w:rsidR="00E13D9D" w:rsidRDefault="00E27C4C">
      <w:pPr>
        <w:spacing w:after="120" w:line="360" w:lineRule="auto"/>
        <w:ind w:firstLine="357"/>
        <w:jc w:val="both"/>
      </w:pPr>
      <w:r>
        <w:t xml:space="preserve">Formal consistency problems are also visible in heading punctuation and caption </w:t>
      </w:r>
      <w:r>
        <w:t>presentation. The table of contents displays titles such as "Alignment-Based Tools : BLAST" and "System Operation : Sysadmin basics", where spacing around the colon is inconsistent with standard academic formatting. Because headings are repeated in the con</w:t>
      </w:r>
      <w:r>
        <w:t>tents page, any punctuation inconsistency becomes highly visible and affects the perceived quality of the entire document.</w:t>
      </w:r>
    </w:p>
    <w:p w14:paraId="683C27C1" w14:textId="77777777" w:rsidR="00E13D9D" w:rsidRDefault="00E27C4C">
      <w:pPr>
        <w:spacing w:after="120" w:line="360" w:lineRule="auto"/>
        <w:ind w:firstLine="357"/>
        <w:jc w:val="both"/>
      </w:pPr>
      <w:r>
        <w:t>The same principle applies to figure and table captions, which must follow one stable convention throughout a thesis. Even minor diff</w:t>
      </w:r>
      <w:r>
        <w:t>erences in spacing, numbering format, or caption style can signal that the document was not finalized carefully. In a benchmark thesis, this is especially important because formal inconsistencies may be copied unintentionally by later students who treat th</w:t>
      </w:r>
      <w:r>
        <w:t>e document as a model.</w:t>
      </w:r>
    </w:p>
    <w:p w14:paraId="66CE009C" w14:textId="77777777" w:rsidR="00E13D9D" w:rsidRDefault="00E27C4C">
      <w:pPr>
        <w:pStyle w:val="SectionHeading"/>
      </w:pPr>
      <w:r>
        <w:t>Conclusion</w:t>
      </w:r>
    </w:p>
    <w:p w14:paraId="07FA5749" w14:textId="77777777" w:rsidR="00E13D9D" w:rsidRDefault="00E27C4C">
      <w:pPr>
        <w:spacing w:after="120" w:line="360" w:lineRule="auto"/>
        <w:ind w:firstLine="357"/>
        <w:jc w:val="both"/>
      </w:pPr>
      <w:r>
        <w:t>In conclusion, the benchmark thesis appears substantial in scope, yet it also presents several visible structural and numbering-related weaknesses. The most significant issues are over-fragmented chapter architecture, mism</w:t>
      </w:r>
      <w:r>
        <w:t>atch between chapter labels and chapter content, inconsistent chapter-number presentation, excessive subsection branching, and incomplete formal standardization of headings and captions. These weaknesses do not necessarily invalidate the thesis as a useful</w:t>
      </w:r>
      <w:r>
        <w:t xml:space="preserve"> point of reference, but they do show that benchmark status should not imply exemption from structural critique. On the contrary, a benchmark thesis should be evaluated even more carefully, because its formal features influence the standards implicitly tra</w:t>
      </w:r>
      <w:r>
        <w:t>nsmitted to future submissions.</w:t>
      </w:r>
    </w:p>
    <w:sectPr w:rsidR="00E13D9D" w:rsidSect="00034616">
      <w:headerReference w:type="default" r:id="rId8"/>
      <w:footerReference w:type="default" r:id="rId9"/>
      <w:pgSz w:w="12240" w:h="15840"/>
      <w:pgMar w:top="1417" w:right="1417" w:bottom="1417"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3136" w14:textId="77777777" w:rsidR="00E27C4C" w:rsidRDefault="00E27C4C">
      <w:pPr>
        <w:spacing w:after="0" w:line="240" w:lineRule="auto"/>
      </w:pPr>
      <w:r>
        <w:separator/>
      </w:r>
    </w:p>
  </w:endnote>
  <w:endnote w:type="continuationSeparator" w:id="0">
    <w:p w14:paraId="6E4BD023" w14:textId="77777777" w:rsidR="00E27C4C" w:rsidRDefault="00E2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CB1E" w14:textId="77777777" w:rsidR="00E13D9D" w:rsidRDefault="00E27C4C">
    <w:pPr>
      <w:pStyle w:val="Footer"/>
      <w:jc w:val="center"/>
    </w:pPr>
    <w:r>
      <w:rPr>
        <w:color w:val="666666"/>
        <w:sz w:val="20"/>
      </w:rPr>
      <w:t xml:space="preserve">Page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4E93" w14:textId="77777777" w:rsidR="00E27C4C" w:rsidRDefault="00E27C4C">
      <w:pPr>
        <w:spacing w:after="0" w:line="240" w:lineRule="auto"/>
      </w:pPr>
      <w:r>
        <w:separator/>
      </w:r>
    </w:p>
  </w:footnote>
  <w:footnote w:type="continuationSeparator" w:id="0">
    <w:p w14:paraId="0D2F2083" w14:textId="77777777" w:rsidR="00E27C4C" w:rsidRDefault="00E2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6534" w14:textId="77777777" w:rsidR="00E13D9D" w:rsidRDefault="00E27C4C">
    <w:pPr>
      <w:pStyle w:val="Header"/>
      <w:jc w:val="right"/>
    </w:pPr>
    <w:r>
      <w:rPr>
        <w:i/>
        <w:color w:val="666666"/>
        <w:sz w:val="20"/>
      </w:rPr>
      <w:t>Benchmark Thesis Review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D475A4"/>
    <w:rsid w:val="00E13D9D"/>
    <w:rsid w:val="00E27C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4D7D7"/>
  <w14:defaultImageDpi w14:val="300"/>
  <w15:docId w15:val="{BA90642B-6E4E-4A67-8151-55451775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portTitle">
    <w:name w:val="Report Title"/>
    <w:basedOn w:val="Normal"/>
    <w:pPr>
      <w:spacing w:after="240"/>
      <w:jc w:val="center"/>
    </w:pPr>
    <w:rPr>
      <w:b/>
      <w:color w:val="1F4E79"/>
      <w:sz w:val="40"/>
    </w:rPr>
  </w:style>
  <w:style w:type="paragraph" w:customStyle="1" w:styleId="ReportSubtitle">
    <w:name w:val="Report Subtitle"/>
    <w:basedOn w:val="Normal"/>
    <w:pPr>
      <w:spacing w:after="120"/>
      <w:jc w:val="center"/>
    </w:pPr>
    <w:rPr>
      <w:i/>
      <w:color w:val="5A5A5A"/>
    </w:rPr>
  </w:style>
  <w:style w:type="paragraph" w:customStyle="1" w:styleId="SectionHeading">
    <w:name w:val="Section Heading"/>
    <w:basedOn w:val="Normal"/>
    <w:pPr>
      <w:keepNext/>
      <w:spacing w:before="240" w:after="120"/>
    </w:pPr>
    <w:rPr>
      <w:b/>
      <w:color w:val="1F4E7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Dulguun Sukhochir</cp:lastModifiedBy>
  <cp:revision>2</cp:revision>
  <dcterms:created xsi:type="dcterms:W3CDTF">2013-12-23T23:15:00Z</dcterms:created>
  <dcterms:modified xsi:type="dcterms:W3CDTF">2026-03-13T16:57:00Z</dcterms:modified>
  <cp:category/>
</cp:coreProperties>
</file>