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E2577" w14:textId="77777777" w:rsidR="00732BC5" w:rsidRPr="003E168A" w:rsidRDefault="00732BC5" w:rsidP="00732BC5">
      <w:pPr>
        <w:ind w:firstLine="0"/>
        <w:jc w:val="center"/>
        <w:rPr>
          <w:b/>
          <w:bCs/>
          <w:sz w:val="44"/>
          <w:szCs w:val="44"/>
        </w:rPr>
      </w:pPr>
    </w:p>
    <w:p w14:paraId="34F30FB5" w14:textId="77777777" w:rsidR="00732BC5" w:rsidRPr="003E168A" w:rsidRDefault="00732BC5" w:rsidP="00732BC5">
      <w:pPr>
        <w:ind w:firstLine="0"/>
        <w:jc w:val="center"/>
        <w:rPr>
          <w:b/>
          <w:bCs/>
          <w:sz w:val="44"/>
          <w:szCs w:val="44"/>
        </w:rPr>
      </w:pPr>
    </w:p>
    <w:p w14:paraId="1D0D3A74" w14:textId="77777777" w:rsidR="00732BC5" w:rsidRPr="003E168A" w:rsidRDefault="00732BC5" w:rsidP="00732BC5">
      <w:pPr>
        <w:ind w:firstLine="0"/>
        <w:jc w:val="center"/>
        <w:rPr>
          <w:b/>
          <w:bCs/>
          <w:sz w:val="44"/>
          <w:szCs w:val="44"/>
        </w:rPr>
      </w:pPr>
    </w:p>
    <w:p w14:paraId="48E581B8" w14:textId="77777777" w:rsidR="00732BC5" w:rsidRPr="003E168A" w:rsidRDefault="00732BC5" w:rsidP="00732BC5">
      <w:pPr>
        <w:ind w:firstLine="0"/>
        <w:jc w:val="center"/>
        <w:rPr>
          <w:b/>
          <w:bCs/>
          <w:sz w:val="44"/>
          <w:szCs w:val="44"/>
        </w:rPr>
      </w:pPr>
    </w:p>
    <w:p w14:paraId="670530F2" w14:textId="77777777" w:rsidR="00732BC5" w:rsidRPr="003E168A" w:rsidRDefault="00732BC5" w:rsidP="00732BC5">
      <w:pPr>
        <w:ind w:firstLine="0"/>
        <w:jc w:val="center"/>
        <w:rPr>
          <w:b/>
          <w:bCs/>
          <w:sz w:val="44"/>
          <w:szCs w:val="44"/>
        </w:rPr>
      </w:pPr>
    </w:p>
    <w:p w14:paraId="37250BB8" w14:textId="1F883EFF" w:rsidR="00421BEE" w:rsidRPr="003E168A" w:rsidRDefault="00421BEE" w:rsidP="00732BC5">
      <w:pPr>
        <w:ind w:firstLine="0"/>
        <w:jc w:val="center"/>
        <w:rPr>
          <w:b/>
          <w:bCs/>
          <w:sz w:val="44"/>
          <w:szCs w:val="44"/>
        </w:rPr>
      </w:pPr>
      <w:r w:rsidRPr="003E168A">
        <w:rPr>
          <w:b/>
          <w:bCs/>
          <w:sz w:val="44"/>
          <w:szCs w:val="44"/>
        </w:rPr>
        <w:t>Kvantum-inspirált homogenitásmodellek a jövő társadalmi-gazdasági rendszereinek elemzésében</w:t>
      </w:r>
    </w:p>
    <w:p w14:paraId="53A16383" w14:textId="77777777" w:rsidR="00421BEE" w:rsidRPr="003E168A" w:rsidRDefault="00421BEE" w:rsidP="00421BEE"/>
    <w:p w14:paraId="759210C7" w14:textId="77777777" w:rsidR="00421BEE" w:rsidRPr="003E168A" w:rsidRDefault="00421BEE" w:rsidP="00421BEE"/>
    <w:p w14:paraId="664DE270" w14:textId="77777777" w:rsidR="00421BEE" w:rsidRPr="003E168A" w:rsidRDefault="00421BEE" w:rsidP="00421BEE"/>
    <w:p w14:paraId="50CB20D8" w14:textId="77777777" w:rsidR="00421BEE" w:rsidRPr="003E168A" w:rsidRDefault="00421BEE" w:rsidP="00421BEE"/>
    <w:p w14:paraId="6487E66F" w14:textId="233F568E" w:rsidR="00421BEE" w:rsidRPr="003E168A" w:rsidRDefault="00421BEE" w:rsidP="00421BEE">
      <w:pPr>
        <w:pStyle w:val="Cmsor1"/>
        <w:ind w:firstLine="0"/>
      </w:pPr>
      <w:r w:rsidRPr="003E168A">
        <w:br w:type="page"/>
      </w:r>
    </w:p>
    <w:p w14:paraId="1E20A71D" w14:textId="77777777" w:rsidR="00421BEE" w:rsidRPr="003E168A" w:rsidRDefault="00421BEE" w:rsidP="00421BEE"/>
    <w:p w14:paraId="667FE971" w14:textId="3BCC121D" w:rsidR="00421BEE" w:rsidRPr="003E168A" w:rsidRDefault="00421BEE" w:rsidP="00E15FFF">
      <w:pPr>
        <w:spacing w:line="278" w:lineRule="auto"/>
        <w:ind w:firstLine="0"/>
        <w:jc w:val="center"/>
        <w:rPr>
          <w:rFonts w:eastAsiaTheme="majorEastAsia" w:cstheme="majorBidi"/>
          <w:b/>
          <w:sz w:val="32"/>
          <w:szCs w:val="40"/>
        </w:rPr>
      </w:pPr>
      <w:r w:rsidRPr="003E168A">
        <w:rPr>
          <w:rFonts w:eastAsiaTheme="majorEastAsia" w:cstheme="majorBidi"/>
          <w:b/>
          <w:sz w:val="32"/>
          <w:szCs w:val="40"/>
        </w:rPr>
        <w:t>Tartalom</w:t>
      </w:r>
    </w:p>
    <w:p w14:paraId="0346B67E" w14:textId="77777777" w:rsidR="001F65F0" w:rsidRPr="00617FAC" w:rsidRDefault="001F65F0">
      <w:pPr>
        <w:spacing w:line="278" w:lineRule="auto"/>
        <w:ind w:firstLine="0"/>
        <w:jc w:val="left"/>
        <w:rPr>
          <w:rFonts w:eastAsiaTheme="majorEastAsia" w:cs="Times New Roman"/>
          <w:b/>
        </w:rPr>
      </w:pPr>
    </w:p>
    <w:p w14:paraId="24BF4C25" w14:textId="3466D342" w:rsidR="00617FAC" w:rsidRPr="00617FAC" w:rsidRDefault="001F65F0">
      <w:pPr>
        <w:pStyle w:val="TJ1"/>
        <w:tabs>
          <w:tab w:val="right" w:leader="dot" w:pos="9060"/>
        </w:tabs>
        <w:rPr>
          <w:rFonts w:ascii="Times New Roman" w:eastAsiaTheme="minorEastAsia" w:hAnsi="Times New Roman" w:cs="Times New Roman"/>
          <w:b w:val="0"/>
          <w:bCs w:val="0"/>
          <w:caps w:val="0"/>
          <w:noProof/>
          <w:sz w:val="24"/>
          <w:szCs w:val="24"/>
          <w:lang w:eastAsia="hu-HU"/>
        </w:rPr>
      </w:pPr>
      <w:r w:rsidRPr="00617FAC">
        <w:rPr>
          <w:rFonts w:ascii="Times New Roman" w:eastAsiaTheme="majorEastAsia" w:hAnsi="Times New Roman" w:cs="Times New Roman"/>
          <w:b w:val="0"/>
          <w:sz w:val="24"/>
          <w:szCs w:val="24"/>
        </w:rPr>
        <w:fldChar w:fldCharType="begin"/>
      </w:r>
      <w:r w:rsidRPr="00617FAC">
        <w:rPr>
          <w:rFonts w:ascii="Times New Roman" w:eastAsiaTheme="majorEastAsia" w:hAnsi="Times New Roman" w:cs="Times New Roman"/>
          <w:b w:val="0"/>
          <w:sz w:val="24"/>
          <w:szCs w:val="24"/>
        </w:rPr>
        <w:instrText xml:space="preserve"> TOC \o "1-3" \h \z \u </w:instrText>
      </w:r>
      <w:r w:rsidRPr="00617FAC">
        <w:rPr>
          <w:rFonts w:ascii="Times New Roman" w:eastAsiaTheme="majorEastAsia" w:hAnsi="Times New Roman" w:cs="Times New Roman"/>
          <w:b w:val="0"/>
          <w:sz w:val="24"/>
          <w:szCs w:val="24"/>
        </w:rPr>
        <w:fldChar w:fldCharType="separate"/>
      </w:r>
      <w:hyperlink w:anchor="_Toc212910373" w:history="1">
        <w:r w:rsidR="00617FAC" w:rsidRPr="00617FAC">
          <w:rPr>
            <w:rStyle w:val="Hiperhivatkozs"/>
            <w:rFonts w:ascii="Times New Roman" w:hAnsi="Times New Roman" w:cs="Times New Roman"/>
            <w:noProof/>
            <w:sz w:val="24"/>
            <w:szCs w:val="24"/>
          </w:rPr>
          <w:t>Fogalomjegyzék</w:t>
        </w:r>
        <w:r w:rsidR="00617FAC" w:rsidRPr="00617FAC">
          <w:rPr>
            <w:rFonts w:ascii="Times New Roman" w:hAnsi="Times New Roman" w:cs="Times New Roman"/>
            <w:noProof/>
            <w:webHidden/>
            <w:sz w:val="24"/>
            <w:szCs w:val="24"/>
          </w:rPr>
          <w:tab/>
        </w:r>
        <w:r w:rsidR="00617FAC" w:rsidRPr="00617FAC">
          <w:rPr>
            <w:rFonts w:ascii="Times New Roman" w:hAnsi="Times New Roman" w:cs="Times New Roman"/>
            <w:noProof/>
            <w:webHidden/>
            <w:sz w:val="24"/>
            <w:szCs w:val="24"/>
          </w:rPr>
          <w:fldChar w:fldCharType="begin"/>
        </w:r>
        <w:r w:rsidR="00617FAC" w:rsidRPr="00617FAC">
          <w:rPr>
            <w:rFonts w:ascii="Times New Roman" w:hAnsi="Times New Roman" w:cs="Times New Roman"/>
            <w:noProof/>
            <w:webHidden/>
            <w:sz w:val="24"/>
            <w:szCs w:val="24"/>
          </w:rPr>
          <w:instrText xml:space="preserve"> PAGEREF _Toc212910373 \h </w:instrText>
        </w:r>
        <w:r w:rsidR="00617FAC" w:rsidRPr="00617FAC">
          <w:rPr>
            <w:rFonts w:ascii="Times New Roman" w:hAnsi="Times New Roman" w:cs="Times New Roman"/>
            <w:noProof/>
            <w:webHidden/>
            <w:sz w:val="24"/>
            <w:szCs w:val="24"/>
          </w:rPr>
        </w:r>
        <w:r w:rsidR="00617FAC" w:rsidRPr="00617FAC">
          <w:rPr>
            <w:rFonts w:ascii="Times New Roman" w:hAnsi="Times New Roman" w:cs="Times New Roman"/>
            <w:noProof/>
            <w:webHidden/>
            <w:sz w:val="24"/>
            <w:szCs w:val="24"/>
          </w:rPr>
          <w:fldChar w:fldCharType="separate"/>
        </w:r>
        <w:r w:rsidR="00617FAC" w:rsidRPr="00617FAC">
          <w:rPr>
            <w:rFonts w:ascii="Times New Roman" w:hAnsi="Times New Roman" w:cs="Times New Roman"/>
            <w:noProof/>
            <w:webHidden/>
            <w:sz w:val="24"/>
            <w:szCs w:val="24"/>
          </w:rPr>
          <w:t>3</w:t>
        </w:r>
        <w:r w:rsidR="00617FAC" w:rsidRPr="00617FAC">
          <w:rPr>
            <w:rFonts w:ascii="Times New Roman" w:hAnsi="Times New Roman" w:cs="Times New Roman"/>
            <w:noProof/>
            <w:webHidden/>
            <w:sz w:val="24"/>
            <w:szCs w:val="24"/>
          </w:rPr>
          <w:fldChar w:fldCharType="end"/>
        </w:r>
      </w:hyperlink>
    </w:p>
    <w:p w14:paraId="59D8EB40" w14:textId="4E83B1A6" w:rsidR="00617FAC" w:rsidRPr="00617FAC" w:rsidRDefault="00617FAC">
      <w:pPr>
        <w:pStyle w:val="TJ1"/>
        <w:tabs>
          <w:tab w:val="right" w:leader="dot" w:pos="9060"/>
        </w:tabs>
        <w:rPr>
          <w:rFonts w:ascii="Times New Roman" w:eastAsiaTheme="minorEastAsia" w:hAnsi="Times New Roman" w:cs="Times New Roman"/>
          <w:b w:val="0"/>
          <w:bCs w:val="0"/>
          <w:caps w:val="0"/>
          <w:noProof/>
          <w:sz w:val="24"/>
          <w:szCs w:val="24"/>
          <w:lang w:eastAsia="hu-HU"/>
        </w:rPr>
      </w:pPr>
      <w:hyperlink w:anchor="_Toc212910374" w:history="1">
        <w:r w:rsidRPr="00617FAC">
          <w:rPr>
            <w:rStyle w:val="Hiperhivatkozs"/>
            <w:rFonts w:ascii="Times New Roman" w:hAnsi="Times New Roman" w:cs="Times New Roman"/>
            <w:noProof/>
            <w:sz w:val="24"/>
            <w:szCs w:val="24"/>
          </w:rPr>
          <w:t>Ábrajegyzék</w:t>
        </w:r>
        <w:r w:rsidRPr="00617FAC">
          <w:rPr>
            <w:rFonts w:ascii="Times New Roman" w:hAnsi="Times New Roman" w:cs="Times New Roman"/>
            <w:noProof/>
            <w:webHidden/>
            <w:sz w:val="24"/>
            <w:szCs w:val="24"/>
          </w:rPr>
          <w:tab/>
        </w:r>
        <w:r w:rsidRPr="00617FAC">
          <w:rPr>
            <w:rFonts w:ascii="Times New Roman" w:hAnsi="Times New Roman" w:cs="Times New Roman"/>
            <w:noProof/>
            <w:webHidden/>
            <w:sz w:val="24"/>
            <w:szCs w:val="24"/>
          </w:rPr>
          <w:fldChar w:fldCharType="begin"/>
        </w:r>
        <w:r w:rsidRPr="00617FAC">
          <w:rPr>
            <w:rFonts w:ascii="Times New Roman" w:hAnsi="Times New Roman" w:cs="Times New Roman"/>
            <w:noProof/>
            <w:webHidden/>
            <w:sz w:val="24"/>
            <w:szCs w:val="24"/>
          </w:rPr>
          <w:instrText xml:space="preserve"> PAGEREF _Toc212910374 \h </w:instrText>
        </w:r>
        <w:r w:rsidRPr="00617FAC">
          <w:rPr>
            <w:rFonts w:ascii="Times New Roman" w:hAnsi="Times New Roman" w:cs="Times New Roman"/>
            <w:noProof/>
            <w:webHidden/>
            <w:sz w:val="24"/>
            <w:szCs w:val="24"/>
          </w:rPr>
        </w:r>
        <w:r w:rsidRPr="00617FAC">
          <w:rPr>
            <w:rFonts w:ascii="Times New Roman" w:hAnsi="Times New Roman" w:cs="Times New Roman"/>
            <w:noProof/>
            <w:webHidden/>
            <w:sz w:val="24"/>
            <w:szCs w:val="24"/>
          </w:rPr>
          <w:fldChar w:fldCharType="separate"/>
        </w:r>
        <w:r w:rsidRPr="00617FAC">
          <w:rPr>
            <w:rFonts w:ascii="Times New Roman" w:hAnsi="Times New Roman" w:cs="Times New Roman"/>
            <w:noProof/>
            <w:webHidden/>
            <w:sz w:val="24"/>
            <w:szCs w:val="24"/>
          </w:rPr>
          <w:t>4</w:t>
        </w:r>
        <w:r w:rsidRPr="00617FAC">
          <w:rPr>
            <w:rFonts w:ascii="Times New Roman" w:hAnsi="Times New Roman" w:cs="Times New Roman"/>
            <w:noProof/>
            <w:webHidden/>
            <w:sz w:val="24"/>
            <w:szCs w:val="24"/>
          </w:rPr>
          <w:fldChar w:fldCharType="end"/>
        </w:r>
      </w:hyperlink>
    </w:p>
    <w:p w14:paraId="71C5DED9" w14:textId="7FBAE502" w:rsidR="00617FAC" w:rsidRPr="00617FAC" w:rsidRDefault="00617FAC">
      <w:pPr>
        <w:pStyle w:val="TJ1"/>
        <w:tabs>
          <w:tab w:val="left" w:pos="960"/>
          <w:tab w:val="right" w:leader="dot" w:pos="9060"/>
        </w:tabs>
        <w:rPr>
          <w:rFonts w:ascii="Times New Roman" w:eastAsiaTheme="minorEastAsia" w:hAnsi="Times New Roman" w:cs="Times New Roman"/>
          <w:b w:val="0"/>
          <w:bCs w:val="0"/>
          <w:caps w:val="0"/>
          <w:noProof/>
          <w:sz w:val="24"/>
          <w:szCs w:val="24"/>
          <w:lang w:eastAsia="hu-HU"/>
        </w:rPr>
      </w:pPr>
      <w:hyperlink w:anchor="_Toc212910375" w:history="1">
        <w:r w:rsidRPr="00617FAC">
          <w:rPr>
            <w:rStyle w:val="Hiperhivatkozs"/>
            <w:rFonts w:ascii="Times New Roman" w:hAnsi="Times New Roman" w:cs="Times New Roman"/>
            <w:noProof/>
            <w:sz w:val="24"/>
            <w:szCs w:val="24"/>
          </w:rPr>
          <w:t>1.</w:t>
        </w:r>
        <w:r w:rsidRPr="00617FAC">
          <w:rPr>
            <w:rFonts w:ascii="Times New Roman" w:eastAsiaTheme="minorEastAsia" w:hAnsi="Times New Roman" w:cs="Times New Roman"/>
            <w:b w:val="0"/>
            <w:bCs w:val="0"/>
            <w:caps w:val="0"/>
            <w:noProof/>
            <w:sz w:val="24"/>
            <w:szCs w:val="24"/>
            <w:lang w:eastAsia="hu-HU"/>
          </w:rPr>
          <w:tab/>
        </w:r>
        <w:r w:rsidRPr="00617FAC">
          <w:rPr>
            <w:rStyle w:val="Hiperhivatkozs"/>
            <w:rFonts w:ascii="Times New Roman" w:hAnsi="Times New Roman" w:cs="Times New Roman"/>
            <w:noProof/>
            <w:sz w:val="24"/>
            <w:szCs w:val="24"/>
          </w:rPr>
          <w:t>Bevezetés</w:t>
        </w:r>
        <w:r w:rsidRPr="00617FAC">
          <w:rPr>
            <w:rFonts w:ascii="Times New Roman" w:hAnsi="Times New Roman" w:cs="Times New Roman"/>
            <w:noProof/>
            <w:webHidden/>
            <w:sz w:val="24"/>
            <w:szCs w:val="24"/>
          </w:rPr>
          <w:tab/>
        </w:r>
        <w:r w:rsidRPr="00617FAC">
          <w:rPr>
            <w:rFonts w:ascii="Times New Roman" w:hAnsi="Times New Roman" w:cs="Times New Roman"/>
            <w:noProof/>
            <w:webHidden/>
            <w:sz w:val="24"/>
            <w:szCs w:val="24"/>
          </w:rPr>
          <w:fldChar w:fldCharType="begin"/>
        </w:r>
        <w:r w:rsidRPr="00617FAC">
          <w:rPr>
            <w:rFonts w:ascii="Times New Roman" w:hAnsi="Times New Roman" w:cs="Times New Roman"/>
            <w:noProof/>
            <w:webHidden/>
            <w:sz w:val="24"/>
            <w:szCs w:val="24"/>
          </w:rPr>
          <w:instrText xml:space="preserve"> PAGEREF _Toc212910375 \h </w:instrText>
        </w:r>
        <w:r w:rsidRPr="00617FAC">
          <w:rPr>
            <w:rFonts w:ascii="Times New Roman" w:hAnsi="Times New Roman" w:cs="Times New Roman"/>
            <w:noProof/>
            <w:webHidden/>
            <w:sz w:val="24"/>
            <w:szCs w:val="24"/>
          </w:rPr>
        </w:r>
        <w:r w:rsidRPr="00617FAC">
          <w:rPr>
            <w:rFonts w:ascii="Times New Roman" w:hAnsi="Times New Roman" w:cs="Times New Roman"/>
            <w:noProof/>
            <w:webHidden/>
            <w:sz w:val="24"/>
            <w:szCs w:val="24"/>
          </w:rPr>
          <w:fldChar w:fldCharType="separate"/>
        </w:r>
        <w:r w:rsidRPr="00617FAC">
          <w:rPr>
            <w:rFonts w:ascii="Times New Roman" w:hAnsi="Times New Roman" w:cs="Times New Roman"/>
            <w:noProof/>
            <w:webHidden/>
            <w:sz w:val="24"/>
            <w:szCs w:val="24"/>
          </w:rPr>
          <w:t>5</w:t>
        </w:r>
        <w:r w:rsidRPr="00617FAC">
          <w:rPr>
            <w:rFonts w:ascii="Times New Roman" w:hAnsi="Times New Roman" w:cs="Times New Roman"/>
            <w:noProof/>
            <w:webHidden/>
            <w:sz w:val="24"/>
            <w:szCs w:val="24"/>
          </w:rPr>
          <w:fldChar w:fldCharType="end"/>
        </w:r>
      </w:hyperlink>
    </w:p>
    <w:p w14:paraId="4F031A8D" w14:textId="04B7CC45" w:rsidR="00617FAC" w:rsidRPr="00617FAC" w:rsidRDefault="00617FAC">
      <w:pPr>
        <w:pStyle w:val="TJ1"/>
        <w:tabs>
          <w:tab w:val="left" w:pos="960"/>
          <w:tab w:val="right" w:leader="dot" w:pos="9060"/>
        </w:tabs>
        <w:rPr>
          <w:rFonts w:ascii="Times New Roman" w:eastAsiaTheme="minorEastAsia" w:hAnsi="Times New Roman" w:cs="Times New Roman"/>
          <w:b w:val="0"/>
          <w:bCs w:val="0"/>
          <w:caps w:val="0"/>
          <w:noProof/>
          <w:sz w:val="24"/>
          <w:szCs w:val="24"/>
          <w:lang w:eastAsia="hu-HU"/>
        </w:rPr>
      </w:pPr>
      <w:hyperlink w:anchor="_Toc212910376" w:history="1">
        <w:r w:rsidRPr="00617FAC">
          <w:rPr>
            <w:rStyle w:val="Hiperhivatkozs"/>
            <w:rFonts w:ascii="Times New Roman" w:hAnsi="Times New Roman" w:cs="Times New Roman"/>
            <w:noProof/>
            <w:sz w:val="24"/>
            <w:szCs w:val="24"/>
          </w:rPr>
          <w:t>2.</w:t>
        </w:r>
        <w:r w:rsidRPr="00617FAC">
          <w:rPr>
            <w:rFonts w:ascii="Times New Roman" w:eastAsiaTheme="minorEastAsia" w:hAnsi="Times New Roman" w:cs="Times New Roman"/>
            <w:b w:val="0"/>
            <w:bCs w:val="0"/>
            <w:caps w:val="0"/>
            <w:noProof/>
            <w:sz w:val="24"/>
            <w:szCs w:val="24"/>
            <w:lang w:eastAsia="hu-HU"/>
          </w:rPr>
          <w:tab/>
        </w:r>
        <w:r w:rsidRPr="00617FAC">
          <w:rPr>
            <w:rStyle w:val="Hiperhivatkozs"/>
            <w:rFonts w:ascii="Times New Roman" w:hAnsi="Times New Roman" w:cs="Times New Roman"/>
            <w:noProof/>
            <w:sz w:val="24"/>
            <w:szCs w:val="24"/>
          </w:rPr>
          <w:t>A tanulmány célja és jelentősége</w:t>
        </w:r>
        <w:r w:rsidRPr="00617FAC">
          <w:rPr>
            <w:rFonts w:ascii="Times New Roman" w:hAnsi="Times New Roman" w:cs="Times New Roman"/>
            <w:noProof/>
            <w:webHidden/>
            <w:sz w:val="24"/>
            <w:szCs w:val="24"/>
          </w:rPr>
          <w:tab/>
        </w:r>
        <w:r w:rsidRPr="00617FAC">
          <w:rPr>
            <w:rFonts w:ascii="Times New Roman" w:hAnsi="Times New Roman" w:cs="Times New Roman"/>
            <w:noProof/>
            <w:webHidden/>
            <w:sz w:val="24"/>
            <w:szCs w:val="24"/>
          </w:rPr>
          <w:fldChar w:fldCharType="begin"/>
        </w:r>
        <w:r w:rsidRPr="00617FAC">
          <w:rPr>
            <w:rFonts w:ascii="Times New Roman" w:hAnsi="Times New Roman" w:cs="Times New Roman"/>
            <w:noProof/>
            <w:webHidden/>
            <w:sz w:val="24"/>
            <w:szCs w:val="24"/>
          </w:rPr>
          <w:instrText xml:space="preserve"> PAGEREF _Toc212910376 \h </w:instrText>
        </w:r>
        <w:r w:rsidRPr="00617FAC">
          <w:rPr>
            <w:rFonts w:ascii="Times New Roman" w:hAnsi="Times New Roman" w:cs="Times New Roman"/>
            <w:noProof/>
            <w:webHidden/>
            <w:sz w:val="24"/>
            <w:szCs w:val="24"/>
          </w:rPr>
        </w:r>
        <w:r w:rsidRPr="00617FAC">
          <w:rPr>
            <w:rFonts w:ascii="Times New Roman" w:hAnsi="Times New Roman" w:cs="Times New Roman"/>
            <w:noProof/>
            <w:webHidden/>
            <w:sz w:val="24"/>
            <w:szCs w:val="24"/>
          </w:rPr>
          <w:fldChar w:fldCharType="separate"/>
        </w:r>
        <w:r w:rsidRPr="00617FAC">
          <w:rPr>
            <w:rFonts w:ascii="Times New Roman" w:hAnsi="Times New Roman" w:cs="Times New Roman"/>
            <w:noProof/>
            <w:webHidden/>
            <w:sz w:val="24"/>
            <w:szCs w:val="24"/>
          </w:rPr>
          <w:t>6</w:t>
        </w:r>
        <w:r w:rsidRPr="00617FAC">
          <w:rPr>
            <w:rFonts w:ascii="Times New Roman" w:hAnsi="Times New Roman" w:cs="Times New Roman"/>
            <w:noProof/>
            <w:webHidden/>
            <w:sz w:val="24"/>
            <w:szCs w:val="24"/>
          </w:rPr>
          <w:fldChar w:fldCharType="end"/>
        </w:r>
      </w:hyperlink>
    </w:p>
    <w:p w14:paraId="451E6678" w14:textId="75AB6DE7" w:rsidR="00617FAC" w:rsidRPr="00617FAC" w:rsidRDefault="00617FAC">
      <w:pPr>
        <w:pStyle w:val="TJ1"/>
        <w:tabs>
          <w:tab w:val="left" w:pos="960"/>
          <w:tab w:val="right" w:leader="dot" w:pos="9060"/>
        </w:tabs>
        <w:rPr>
          <w:rFonts w:ascii="Times New Roman" w:eastAsiaTheme="minorEastAsia" w:hAnsi="Times New Roman" w:cs="Times New Roman"/>
          <w:b w:val="0"/>
          <w:bCs w:val="0"/>
          <w:caps w:val="0"/>
          <w:noProof/>
          <w:sz w:val="24"/>
          <w:szCs w:val="24"/>
          <w:lang w:eastAsia="hu-HU"/>
        </w:rPr>
      </w:pPr>
      <w:hyperlink w:anchor="_Toc212910377" w:history="1">
        <w:r w:rsidRPr="00617FAC">
          <w:rPr>
            <w:rStyle w:val="Hiperhivatkozs"/>
            <w:rFonts w:ascii="Times New Roman" w:hAnsi="Times New Roman" w:cs="Times New Roman"/>
            <w:noProof/>
            <w:sz w:val="24"/>
            <w:szCs w:val="24"/>
          </w:rPr>
          <w:t>3.</w:t>
        </w:r>
        <w:r w:rsidRPr="00617FAC">
          <w:rPr>
            <w:rFonts w:ascii="Times New Roman" w:eastAsiaTheme="minorEastAsia" w:hAnsi="Times New Roman" w:cs="Times New Roman"/>
            <w:b w:val="0"/>
            <w:bCs w:val="0"/>
            <w:caps w:val="0"/>
            <w:noProof/>
            <w:sz w:val="24"/>
            <w:szCs w:val="24"/>
            <w:lang w:eastAsia="hu-HU"/>
          </w:rPr>
          <w:tab/>
        </w:r>
        <w:r w:rsidRPr="00617FAC">
          <w:rPr>
            <w:rStyle w:val="Hiperhivatkozs"/>
            <w:rFonts w:ascii="Times New Roman" w:hAnsi="Times New Roman" w:cs="Times New Roman"/>
            <w:noProof/>
            <w:sz w:val="24"/>
            <w:szCs w:val="24"/>
          </w:rPr>
          <w:t>Szakirodalom és Empirikus alapok</w:t>
        </w:r>
        <w:r w:rsidRPr="00617FAC">
          <w:rPr>
            <w:rFonts w:ascii="Times New Roman" w:hAnsi="Times New Roman" w:cs="Times New Roman"/>
            <w:noProof/>
            <w:webHidden/>
            <w:sz w:val="24"/>
            <w:szCs w:val="24"/>
          </w:rPr>
          <w:tab/>
        </w:r>
        <w:r w:rsidRPr="00617FAC">
          <w:rPr>
            <w:rFonts w:ascii="Times New Roman" w:hAnsi="Times New Roman" w:cs="Times New Roman"/>
            <w:noProof/>
            <w:webHidden/>
            <w:sz w:val="24"/>
            <w:szCs w:val="24"/>
          </w:rPr>
          <w:fldChar w:fldCharType="begin"/>
        </w:r>
        <w:r w:rsidRPr="00617FAC">
          <w:rPr>
            <w:rFonts w:ascii="Times New Roman" w:hAnsi="Times New Roman" w:cs="Times New Roman"/>
            <w:noProof/>
            <w:webHidden/>
            <w:sz w:val="24"/>
            <w:szCs w:val="24"/>
          </w:rPr>
          <w:instrText xml:space="preserve"> PAGEREF _Toc212910377 \h </w:instrText>
        </w:r>
        <w:r w:rsidRPr="00617FAC">
          <w:rPr>
            <w:rFonts w:ascii="Times New Roman" w:hAnsi="Times New Roman" w:cs="Times New Roman"/>
            <w:noProof/>
            <w:webHidden/>
            <w:sz w:val="24"/>
            <w:szCs w:val="24"/>
          </w:rPr>
        </w:r>
        <w:r w:rsidRPr="00617FAC">
          <w:rPr>
            <w:rFonts w:ascii="Times New Roman" w:hAnsi="Times New Roman" w:cs="Times New Roman"/>
            <w:noProof/>
            <w:webHidden/>
            <w:sz w:val="24"/>
            <w:szCs w:val="24"/>
          </w:rPr>
          <w:fldChar w:fldCharType="separate"/>
        </w:r>
        <w:r w:rsidRPr="00617FAC">
          <w:rPr>
            <w:rFonts w:ascii="Times New Roman" w:hAnsi="Times New Roman" w:cs="Times New Roman"/>
            <w:noProof/>
            <w:webHidden/>
            <w:sz w:val="24"/>
            <w:szCs w:val="24"/>
          </w:rPr>
          <w:t>7</w:t>
        </w:r>
        <w:r w:rsidRPr="00617FAC">
          <w:rPr>
            <w:rFonts w:ascii="Times New Roman" w:hAnsi="Times New Roman" w:cs="Times New Roman"/>
            <w:noProof/>
            <w:webHidden/>
            <w:sz w:val="24"/>
            <w:szCs w:val="24"/>
          </w:rPr>
          <w:fldChar w:fldCharType="end"/>
        </w:r>
      </w:hyperlink>
    </w:p>
    <w:p w14:paraId="3A4DDBDE" w14:textId="4F3D3C1D" w:rsidR="00617FAC" w:rsidRPr="00617FAC" w:rsidRDefault="00617FAC">
      <w:pPr>
        <w:pStyle w:val="TJ2"/>
        <w:tabs>
          <w:tab w:val="left" w:pos="1200"/>
          <w:tab w:val="right" w:leader="dot" w:pos="9060"/>
        </w:tabs>
        <w:rPr>
          <w:rFonts w:ascii="Times New Roman" w:eastAsiaTheme="minorEastAsia" w:hAnsi="Times New Roman" w:cs="Times New Roman"/>
          <w:smallCaps w:val="0"/>
          <w:noProof/>
          <w:sz w:val="24"/>
          <w:szCs w:val="24"/>
          <w:lang w:eastAsia="hu-HU"/>
        </w:rPr>
      </w:pPr>
      <w:hyperlink w:anchor="_Toc212910378" w:history="1">
        <w:r w:rsidRPr="00617FAC">
          <w:rPr>
            <w:rStyle w:val="Hiperhivatkozs"/>
            <w:rFonts w:ascii="Times New Roman" w:hAnsi="Times New Roman" w:cs="Times New Roman"/>
            <w:noProof/>
            <w:sz w:val="24"/>
            <w:szCs w:val="24"/>
          </w:rPr>
          <w:t>3.1.</w:t>
        </w:r>
        <w:r w:rsidRPr="00617FAC">
          <w:rPr>
            <w:rFonts w:ascii="Times New Roman" w:eastAsiaTheme="minorEastAsia" w:hAnsi="Times New Roman" w:cs="Times New Roman"/>
            <w:smallCaps w:val="0"/>
            <w:noProof/>
            <w:sz w:val="24"/>
            <w:szCs w:val="24"/>
            <w:lang w:eastAsia="hu-HU"/>
          </w:rPr>
          <w:tab/>
        </w:r>
        <w:r w:rsidRPr="00617FAC">
          <w:rPr>
            <w:rStyle w:val="Hiperhivatkozs"/>
            <w:rFonts w:ascii="Times New Roman" w:hAnsi="Times New Roman" w:cs="Times New Roman"/>
            <w:noProof/>
            <w:sz w:val="24"/>
            <w:szCs w:val="24"/>
          </w:rPr>
          <w:t>EU homogenitás</w:t>
        </w:r>
        <w:r w:rsidRPr="00617FAC">
          <w:rPr>
            <w:rFonts w:ascii="Times New Roman" w:hAnsi="Times New Roman" w:cs="Times New Roman"/>
            <w:noProof/>
            <w:webHidden/>
            <w:sz w:val="24"/>
            <w:szCs w:val="24"/>
          </w:rPr>
          <w:tab/>
        </w:r>
        <w:r w:rsidRPr="00617FAC">
          <w:rPr>
            <w:rFonts w:ascii="Times New Roman" w:hAnsi="Times New Roman" w:cs="Times New Roman"/>
            <w:noProof/>
            <w:webHidden/>
            <w:sz w:val="24"/>
            <w:szCs w:val="24"/>
          </w:rPr>
          <w:fldChar w:fldCharType="begin"/>
        </w:r>
        <w:r w:rsidRPr="00617FAC">
          <w:rPr>
            <w:rFonts w:ascii="Times New Roman" w:hAnsi="Times New Roman" w:cs="Times New Roman"/>
            <w:noProof/>
            <w:webHidden/>
            <w:sz w:val="24"/>
            <w:szCs w:val="24"/>
          </w:rPr>
          <w:instrText xml:space="preserve"> PAGEREF _Toc212910378 \h </w:instrText>
        </w:r>
        <w:r w:rsidRPr="00617FAC">
          <w:rPr>
            <w:rFonts w:ascii="Times New Roman" w:hAnsi="Times New Roman" w:cs="Times New Roman"/>
            <w:noProof/>
            <w:webHidden/>
            <w:sz w:val="24"/>
            <w:szCs w:val="24"/>
          </w:rPr>
        </w:r>
        <w:r w:rsidRPr="00617FAC">
          <w:rPr>
            <w:rFonts w:ascii="Times New Roman" w:hAnsi="Times New Roman" w:cs="Times New Roman"/>
            <w:noProof/>
            <w:webHidden/>
            <w:sz w:val="24"/>
            <w:szCs w:val="24"/>
          </w:rPr>
          <w:fldChar w:fldCharType="separate"/>
        </w:r>
        <w:r w:rsidRPr="00617FAC">
          <w:rPr>
            <w:rFonts w:ascii="Times New Roman" w:hAnsi="Times New Roman" w:cs="Times New Roman"/>
            <w:noProof/>
            <w:webHidden/>
            <w:sz w:val="24"/>
            <w:szCs w:val="24"/>
          </w:rPr>
          <w:t>7</w:t>
        </w:r>
        <w:r w:rsidRPr="00617FAC">
          <w:rPr>
            <w:rFonts w:ascii="Times New Roman" w:hAnsi="Times New Roman" w:cs="Times New Roman"/>
            <w:noProof/>
            <w:webHidden/>
            <w:sz w:val="24"/>
            <w:szCs w:val="24"/>
          </w:rPr>
          <w:fldChar w:fldCharType="end"/>
        </w:r>
      </w:hyperlink>
    </w:p>
    <w:p w14:paraId="57F8980F" w14:textId="2FAA8917" w:rsidR="00617FAC" w:rsidRPr="00617FAC" w:rsidRDefault="00617FAC">
      <w:pPr>
        <w:pStyle w:val="TJ2"/>
        <w:tabs>
          <w:tab w:val="left" w:pos="1200"/>
          <w:tab w:val="right" w:leader="dot" w:pos="9060"/>
        </w:tabs>
        <w:rPr>
          <w:rFonts w:ascii="Times New Roman" w:eastAsiaTheme="minorEastAsia" w:hAnsi="Times New Roman" w:cs="Times New Roman"/>
          <w:smallCaps w:val="0"/>
          <w:noProof/>
          <w:sz w:val="24"/>
          <w:szCs w:val="24"/>
          <w:lang w:eastAsia="hu-HU"/>
        </w:rPr>
      </w:pPr>
      <w:hyperlink w:anchor="_Toc212910379" w:history="1">
        <w:r w:rsidRPr="00617FAC">
          <w:rPr>
            <w:rStyle w:val="Hiperhivatkozs"/>
            <w:rFonts w:ascii="Times New Roman" w:hAnsi="Times New Roman" w:cs="Times New Roman"/>
            <w:noProof/>
            <w:sz w:val="24"/>
            <w:szCs w:val="24"/>
          </w:rPr>
          <w:t>3.2.</w:t>
        </w:r>
        <w:r w:rsidRPr="00617FAC">
          <w:rPr>
            <w:rFonts w:ascii="Times New Roman" w:eastAsiaTheme="minorEastAsia" w:hAnsi="Times New Roman" w:cs="Times New Roman"/>
            <w:smallCaps w:val="0"/>
            <w:noProof/>
            <w:sz w:val="24"/>
            <w:szCs w:val="24"/>
            <w:lang w:eastAsia="hu-HU"/>
          </w:rPr>
          <w:tab/>
        </w:r>
        <w:r w:rsidRPr="00617FAC">
          <w:rPr>
            <w:rStyle w:val="Hiperhivatkozs"/>
            <w:rFonts w:ascii="Times New Roman" w:hAnsi="Times New Roman" w:cs="Times New Roman"/>
            <w:noProof/>
            <w:sz w:val="24"/>
            <w:szCs w:val="24"/>
          </w:rPr>
          <w:t>A Mezőföld fenntarthatósági elemzése</w:t>
        </w:r>
        <w:r w:rsidRPr="00617FAC">
          <w:rPr>
            <w:rFonts w:ascii="Times New Roman" w:hAnsi="Times New Roman" w:cs="Times New Roman"/>
            <w:noProof/>
            <w:webHidden/>
            <w:sz w:val="24"/>
            <w:szCs w:val="24"/>
          </w:rPr>
          <w:tab/>
        </w:r>
        <w:r w:rsidRPr="00617FAC">
          <w:rPr>
            <w:rFonts w:ascii="Times New Roman" w:hAnsi="Times New Roman" w:cs="Times New Roman"/>
            <w:noProof/>
            <w:webHidden/>
            <w:sz w:val="24"/>
            <w:szCs w:val="24"/>
          </w:rPr>
          <w:fldChar w:fldCharType="begin"/>
        </w:r>
        <w:r w:rsidRPr="00617FAC">
          <w:rPr>
            <w:rFonts w:ascii="Times New Roman" w:hAnsi="Times New Roman" w:cs="Times New Roman"/>
            <w:noProof/>
            <w:webHidden/>
            <w:sz w:val="24"/>
            <w:szCs w:val="24"/>
          </w:rPr>
          <w:instrText xml:space="preserve"> PAGEREF _Toc212910379 \h </w:instrText>
        </w:r>
        <w:r w:rsidRPr="00617FAC">
          <w:rPr>
            <w:rFonts w:ascii="Times New Roman" w:hAnsi="Times New Roman" w:cs="Times New Roman"/>
            <w:noProof/>
            <w:webHidden/>
            <w:sz w:val="24"/>
            <w:szCs w:val="24"/>
          </w:rPr>
        </w:r>
        <w:r w:rsidRPr="00617FAC">
          <w:rPr>
            <w:rFonts w:ascii="Times New Roman" w:hAnsi="Times New Roman" w:cs="Times New Roman"/>
            <w:noProof/>
            <w:webHidden/>
            <w:sz w:val="24"/>
            <w:szCs w:val="24"/>
          </w:rPr>
          <w:fldChar w:fldCharType="separate"/>
        </w:r>
        <w:r w:rsidRPr="00617FAC">
          <w:rPr>
            <w:rFonts w:ascii="Times New Roman" w:hAnsi="Times New Roman" w:cs="Times New Roman"/>
            <w:noProof/>
            <w:webHidden/>
            <w:sz w:val="24"/>
            <w:szCs w:val="24"/>
          </w:rPr>
          <w:t>8</w:t>
        </w:r>
        <w:r w:rsidRPr="00617FAC">
          <w:rPr>
            <w:rFonts w:ascii="Times New Roman" w:hAnsi="Times New Roman" w:cs="Times New Roman"/>
            <w:noProof/>
            <w:webHidden/>
            <w:sz w:val="24"/>
            <w:szCs w:val="24"/>
          </w:rPr>
          <w:fldChar w:fldCharType="end"/>
        </w:r>
      </w:hyperlink>
    </w:p>
    <w:p w14:paraId="76EE4B11" w14:textId="63615EB8" w:rsidR="00617FAC" w:rsidRPr="00617FAC" w:rsidRDefault="00617FAC">
      <w:pPr>
        <w:pStyle w:val="TJ2"/>
        <w:tabs>
          <w:tab w:val="left" w:pos="1200"/>
          <w:tab w:val="right" w:leader="dot" w:pos="9060"/>
        </w:tabs>
        <w:rPr>
          <w:rFonts w:ascii="Times New Roman" w:eastAsiaTheme="minorEastAsia" w:hAnsi="Times New Roman" w:cs="Times New Roman"/>
          <w:smallCaps w:val="0"/>
          <w:noProof/>
          <w:sz w:val="24"/>
          <w:szCs w:val="24"/>
          <w:lang w:eastAsia="hu-HU"/>
        </w:rPr>
      </w:pPr>
      <w:hyperlink w:anchor="_Toc212910380" w:history="1">
        <w:r w:rsidRPr="00617FAC">
          <w:rPr>
            <w:rStyle w:val="Hiperhivatkozs"/>
            <w:rFonts w:ascii="Times New Roman" w:hAnsi="Times New Roman" w:cs="Times New Roman"/>
            <w:noProof/>
            <w:sz w:val="24"/>
            <w:szCs w:val="24"/>
          </w:rPr>
          <w:t>3.3.</w:t>
        </w:r>
        <w:r w:rsidRPr="00617FAC">
          <w:rPr>
            <w:rFonts w:ascii="Times New Roman" w:eastAsiaTheme="minorEastAsia" w:hAnsi="Times New Roman" w:cs="Times New Roman"/>
            <w:smallCaps w:val="0"/>
            <w:noProof/>
            <w:sz w:val="24"/>
            <w:szCs w:val="24"/>
            <w:lang w:eastAsia="hu-HU"/>
          </w:rPr>
          <w:tab/>
        </w:r>
        <w:r w:rsidRPr="00617FAC">
          <w:rPr>
            <w:rStyle w:val="Hiperhivatkozs"/>
            <w:rFonts w:ascii="Times New Roman" w:hAnsi="Times New Roman" w:cs="Times New Roman"/>
            <w:noProof/>
            <w:sz w:val="24"/>
            <w:szCs w:val="24"/>
          </w:rPr>
          <w:t>Budapest és agglomeráció kulturális kohéziója</w:t>
        </w:r>
        <w:r w:rsidRPr="00617FAC">
          <w:rPr>
            <w:rFonts w:ascii="Times New Roman" w:hAnsi="Times New Roman" w:cs="Times New Roman"/>
            <w:noProof/>
            <w:webHidden/>
            <w:sz w:val="24"/>
            <w:szCs w:val="24"/>
          </w:rPr>
          <w:tab/>
        </w:r>
        <w:r w:rsidRPr="00617FAC">
          <w:rPr>
            <w:rFonts w:ascii="Times New Roman" w:hAnsi="Times New Roman" w:cs="Times New Roman"/>
            <w:noProof/>
            <w:webHidden/>
            <w:sz w:val="24"/>
            <w:szCs w:val="24"/>
          </w:rPr>
          <w:fldChar w:fldCharType="begin"/>
        </w:r>
        <w:r w:rsidRPr="00617FAC">
          <w:rPr>
            <w:rFonts w:ascii="Times New Roman" w:hAnsi="Times New Roman" w:cs="Times New Roman"/>
            <w:noProof/>
            <w:webHidden/>
            <w:sz w:val="24"/>
            <w:szCs w:val="24"/>
          </w:rPr>
          <w:instrText xml:space="preserve"> PAGEREF _Toc212910380 \h </w:instrText>
        </w:r>
        <w:r w:rsidRPr="00617FAC">
          <w:rPr>
            <w:rFonts w:ascii="Times New Roman" w:hAnsi="Times New Roman" w:cs="Times New Roman"/>
            <w:noProof/>
            <w:webHidden/>
            <w:sz w:val="24"/>
            <w:szCs w:val="24"/>
          </w:rPr>
        </w:r>
        <w:r w:rsidRPr="00617FAC">
          <w:rPr>
            <w:rFonts w:ascii="Times New Roman" w:hAnsi="Times New Roman" w:cs="Times New Roman"/>
            <w:noProof/>
            <w:webHidden/>
            <w:sz w:val="24"/>
            <w:szCs w:val="24"/>
          </w:rPr>
          <w:fldChar w:fldCharType="separate"/>
        </w:r>
        <w:r w:rsidRPr="00617FAC">
          <w:rPr>
            <w:rFonts w:ascii="Times New Roman" w:hAnsi="Times New Roman" w:cs="Times New Roman"/>
            <w:noProof/>
            <w:webHidden/>
            <w:sz w:val="24"/>
            <w:szCs w:val="24"/>
          </w:rPr>
          <w:t>9</w:t>
        </w:r>
        <w:r w:rsidRPr="00617FAC">
          <w:rPr>
            <w:rFonts w:ascii="Times New Roman" w:hAnsi="Times New Roman" w:cs="Times New Roman"/>
            <w:noProof/>
            <w:webHidden/>
            <w:sz w:val="24"/>
            <w:szCs w:val="24"/>
          </w:rPr>
          <w:fldChar w:fldCharType="end"/>
        </w:r>
      </w:hyperlink>
    </w:p>
    <w:p w14:paraId="2EC2C04A" w14:textId="057A8C75" w:rsidR="00617FAC" w:rsidRPr="00617FAC" w:rsidRDefault="00617FAC">
      <w:pPr>
        <w:pStyle w:val="TJ2"/>
        <w:tabs>
          <w:tab w:val="left" w:pos="1200"/>
          <w:tab w:val="right" w:leader="dot" w:pos="9060"/>
        </w:tabs>
        <w:rPr>
          <w:rFonts w:ascii="Times New Roman" w:eastAsiaTheme="minorEastAsia" w:hAnsi="Times New Roman" w:cs="Times New Roman"/>
          <w:smallCaps w:val="0"/>
          <w:noProof/>
          <w:sz w:val="24"/>
          <w:szCs w:val="24"/>
          <w:lang w:eastAsia="hu-HU"/>
        </w:rPr>
      </w:pPr>
      <w:hyperlink w:anchor="_Toc212910381" w:history="1">
        <w:r w:rsidRPr="00617FAC">
          <w:rPr>
            <w:rStyle w:val="Hiperhivatkozs"/>
            <w:rFonts w:ascii="Times New Roman" w:hAnsi="Times New Roman" w:cs="Times New Roman"/>
            <w:noProof/>
            <w:sz w:val="24"/>
            <w:szCs w:val="24"/>
          </w:rPr>
          <w:t>3.4.</w:t>
        </w:r>
        <w:r w:rsidRPr="00617FAC">
          <w:rPr>
            <w:rFonts w:ascii="Times New Roman" w:eastAsiaTheme="minorEastAsia" w:hAnsi="Times New Roman" w:cs="Times New Roman"/>
            <w:smallCaps w:val="0"/>
            <w:noProof/>
            <w:sz w:val="24"/>
            <w:szCs w:val="24"/>
            <w:lang w:eastAsia="hu-HU"/>
          </w:rPr>
          <w:tab/>
        </w:r>
        <w:r w:rsidRPr="00617FAC">
          <w:rPr>
            <w:rStyle w:val="Hiperhivatkozs"/>
            <w:rFonts w:ascii="Times New Roman" w:hAnsi="Times New Roman" w:cs="Times New Roman"/>
            <w:noProof/>
            <w:sz w:val="24"/>
            <w:szCs w:val="24"/>
          </w:rPr>
          <w:t>Az AI-alapú kutatások és a kvantum-inspirált modellek kapcsolata</w:t>
        </w:r>
        <w:r w:rsidRPr="00617FAC">
          <w:rPr>
            <w:rFonts w:ascii="Times New Roman" w:hAnsi="Times New Roman" w:cs="Times New Roman"/>
            <w:noProof/>
            <w:webHidden/>
            <w:sz w:val="24"/>
            <w:szCs w:val="24"/>
          </w:rPr>
          <w:tab/>
        </w:r>
        <w:r w:rsidRPr="00617FAC">
          <w:rPr>
            <w:rFonts w:ascii="Times New Roman" w:hAnsi="Times New Roman" w:cs="Times New Roman"/>
            <w:noProof/>
            <w:webHidden/>
            <w:sz w:val="24"/>
            <w:szCs w:val="24"/>
          </w:rPr>
          <w:fldChar w:fldCharType="begin"/>
        </w:r>
        <w:r w:rsidRPr="00617FAC">
          <w:rPr>
            <w:rFonts w:ascii="Times New Roman" w:hAnsi="Times New Roman" w:cs="Times New Roman"/>
            <w:noProof/>
            <w:webHidden/>
            <w:sz w:val="24"/>
            <w:szCs w:val="24"/>
          </w:rPr>
          <w:instrText xml:space="preserve"> PAGEREF _Toc212910381 \h </w:instrText>
        </w:r>
        <w:r w:rsidRPr="00617FAC">
          <w:rPr>
            <w:rFonts w:ascii="Times New Roman" w:hAnsi="Times New Roman" w:cs="Times New Roman"/>
            <w:noProof/>
            <w:webHidden/>
            <w:sz w:val="24"/>
            <w:szCs w:val="24"/>
          </w:rPr>
        </w:r>
        <w:r w:rsidRPr="00617FAC">
          <w:rPr>
            <w:rFonts w:ascii="Times New Roman" w:hAnsi="Times New Roman" w:cs="Times New Roman"/>
            <w:noProof/>
            <w:webHidden/>
            <w:sz w:val="24"/>
            <w:szCs w:val="24"/>
          </w:rPr>
          <w:fldChar w:fldCharType="separate"/>
        </w:r>
        <w:r w:rsidRPr="00617FAC">
          <w:rPr>
            <w:rFonts w:ascii="Times New Roman" w:hAnsi="Times New Roman" w:cs="Times New Roman"/>
            <w:noProof/>
            <w:webHidden/>
            <w:sz w:val="24"/>
            <w:szCs w:val="24"/>
          </w:rPr>
          <w:t>10</w:t>
        </w:r>
        <w:r w:rsidRPr="00617FAC">
          <w:rPr>
            <w:rFonts w:ascii="Times New Roman" w:hAnsi="Times New Roman" w:cs="Times New Roman"/>
            <w:noProof/>
            <w:webHidden/>
            <w:sz w:val="24"/>
            <w:szCs w:val="24"/>
          </w:rPr>
          <w:fldChar w:fldCharType="end"/>
        </w:r>
      </w:hyperlink>
    </w:p>
    <w:p w14:paraId="0057AD21" w14:textId="2AB21ECF" w:rsidR="00617FAC" w:rsidRPr="00617FAC" w:rsidRDefault="00617FAC">
      <w:pPr>
        <w:pStyle w:val="TJ1"/>
        <w:tabs>
          <w:tab w:val="left" w:pos="960"/>
          <w:tab w:val="right" w:leader="dot" w:pos="9060"/>
        </w:tabs>
        <w:rPr>
          <w:rFonts w:ascii="Times New Roman" w:eastAsiaTheme="minorEastAsia" w:hAnsi="Times New Roman" w:cs="Times New Roman"/>
          <w:b w:val="0"/>
          <w:bCs w:val="0"/>
          <w:caps w:val="0"/>
          <w:noProof/>
          <w:sz w:val="24"/>
          <w:szCs w:val="24"/>
          <w:lang w:eastAsia="hu-HU"/>
        </w:rPr>
      </w:pPr>
      <w:hyperlink w:anchor="_Toc212910382" w:history="1">
        <w:r w:rsidRPr="00617FAC">
          <w:rPr>
            <w:rStyle w:val="Hiperhivatkozs"/>
            <w:rFonts w:ascii="Times New Roman" w:hAnsi="Times New Roman" w:cs="Times New Roman"/>
            <w:noProof/>
            <w:sz w:val="24"/>
            <w:szCs w:val="24"/>
          </w:rPr>
          <w:t>4.</w:t>
        </w:r>
        <w:r w:rsidRPr="00617FAC">
          <w:rPr>
            <w:rFonts w:ascii="Times New Roman" w:eastAsiaTheme="minorEastAsia" w:hAnsi="Times New Roman" w:cs="Times New Roman"/>
            <w:b w:val="0"/>
            <w:bCs w:val="0"/>
            <w:caps w:val="0"/>
            <w:noProof/>
            <w:sz w:val="24"/>
            <w:szCs w:val="24"/>
            <w:lang w:eastAsia="hu-HU"/>
          </w:rPr>
          <w:tab/>
        </w:r>
        <w:r w:rsidRPr="00617FAC">
          <w:rPr>
            <w:rStyle w:val="Hiperhivatkozs"/>
            <w:rFonts w:ascii="Times New Roman" w:hAnsi="Times New Roman" w:cs="Times New Roman"/>
            <w:noProof/>
            <w:sz w:val="24"/>
            <w:szCs w:val="24"/>
          </w:rPr>
          <w:t>Kvantum-inspirált módszertani megközelítés</w:t>
        </w:r>
        <w:r w:rsidRPr="00617FAC">
          <w:rPr>
            <w:rFonts w:ascii="Times New Roman" w:hAnsi="Times New Roman" w:cs="Times New Roman"/>
            <w:noProof/>
            <w:webHidden/>
            <w:sz w:val="24"/>
            <w:szCs w:val="24"/>
          </w:rPr>
          <w:tab/>
        </w:r>
        <w:r w:rsidRPr="00617FAC">
          <w:rPr>
            <w:rFonts w:ascii="Times New Roman" w:hAnsi="Times New Roman" w:cs="Times New Roman"/>
            <w:noProof/>
            <w:webHidden/>
            <w:sz w:val="24"/>
            <w:szCs w:val="24"/>
          </w:rPr>
          <w:fldChar w:fldCharType="begin"/>
        </w:r>
        <w:r w:rsidRPr="00617FAC">
          <w:rPr>
            <w:rFonts w:ascii="Times New Roman" w:hAnsi="Times New Roman" w:cs="Times New Roman"/>
            <w:noProof/>
            <w:webHidden/>
            <w:sz w:val="24"/>
            <w:szCs w:val="24"/>
          </w:rPr>
          <w:instrText xml:space="preserve"> PAGEREF _Toc212910382 \h </w:instrText>
        </w:r>
        <w:r w:rsidRPr="00617FAC">
          <w:rPr>
            <w:rFonts w:ascii="Times New Roman" w:hAnsi="Times New Roman" w:cs="Times New Roman"/>
            <w:noProof/>
            <w:webHidden/>
            <w:sz w:val="24"/>
            <w:szCs w:val="24"/>
          </w:rPr>
        </w:r>
        <w:r w:rsidRPr="00617FAC">
          <w:rPr>
            <w:rFonts w:ascii="Times New Roman" w:hAnsi="Times New Roman" w:cs="Times New Roman"/>
            <w:noProof/>
            <w:webHidden/>
            <w:sz w:val="24"/>
            <w:szCs w:val="24"/>
          </w:rPr>
          <w:fldChar w:fldCharType="separate"/>
        </w:r>
        <w:r w:rsidRPr="00617FAC">
          <w:rPr>
            <w:rFonts w:ascii="Times New Roman" w:hAnsi="Times New Roman" w:cs="Times New Roman"/>
            <w:noProof/>
            <w:webHidden/>
            <w:sz w:val="24"/>
            <w:szCs w:val="24"/>
          </w:rPr>
          <w:t>10</w:t>
        </w:r>
        <w:r w:rsidRPr="00617FAC">
          <w:rPr>
            <w:rFonts w:ascii="Times New Roman" w:hAnsi="Times New Roman" w:cs="Times New Roman"/>
            <w:noProof/>
            <w:webHidden/>
            <w:sz w:val="24"/>
            <w:szCs w:val="24"/>
          </w:rPr>
          <w:fldChar w:fldCharType="end"/>
        </w:r>
      </w:hyperlink>
    </w:p>
    <w:p w14:paraId="3E998116" w14:textId="61970AA7" w:rsidR="00617FAC" w:rsidRPr="00617FAC" w:rsidRDefault="00617FAC">
      <w:pPr>
        <w:pStyle w:val="TJ2"/>
        <w:tabs>
          <w:tab w:val="left" w:pos="1200"/>
          <w:tab w:val="right" w:leader="dot" w:pos="9060"/>
        </w:tabs>
        <w:rPr>
          <w:rFonts w:ascii="Times New Roman" w:eastAsiaTheme="minorEastAsia" w:hAnsi="Times New Roman" w:cs="Times New Roman"/>
          <w:smallCaps w:val="0"/>
          <w:noProof/>
          <w:sz w:val="24"/>
          <w:szCs w:val="24"/>
          <w:lang w:eastAsia="hu-HU"/>
        </w:rPr>
      </w:pPr>
      <w:hyperlink w:anchor="_Toc212910383" w:history="1">
        <w:r w:rsidRPr="00617FAC">
          <w:rPr>
            <w:rStyle w:val="Hiperhivatkozs"/>
            <w:rFonts w:ascii="Times New Roman" w:hAnsi="Times New Roman" w:cs="Times New Roman"/>
            <w:noProof/>
            <w:sz w:val="24"/>
            <w:szCs w:val="24"/>
          </w:rPr>
          <w:t>4.1.</w:t>
        </w:r>
        <w:r w:rsidRPr="00617FAC">
          <w:rPr>
            <w:rFonts w:ascii="Times New Roman" w:eastAsiaTheme="minorEastAsia" w:hAnsi="Times New Roman" w:cs="Times New Roman"/>
            <w:smallCaps w:val="0"/>
            <w:noProof/>
            <w:sz w:val="24"/>
            <w:szCs w:val="24"/>
            <w:lang w:eastAsia="hu-HU"/>
          </w:rPr>
          <w:tab/>
        </w:r>
        <w:r w:rsidRPr="00617FAC">
          <w:rPr>
            <w:rStyle w:val="Hiperhivatkozs"/>
            <w:rFonts w:ascii="Times New Roman" w:hAnsi="Times New Roman" w:cs="Times New Roman"/>
            <w:noProof/>
            <w:sz w:val="24"/>
            <w:szCs w:val="24"/>
          </w:rPr>
          <w:t>Szuperpozíciós modellezés és valószínűségi rendszerállapotok</w:t>
        </w:r>
        <w:r w:rsidRPr="00617FAC">
          <w:rPr>
            <w:rFonts w:ascii="Times New Roman" w:hAnsi="Times New Roman" w:cs="Times New Roman"/>
            <w:noProof/>
            <w:webHidden/>
            <w:sz w:val="24"/>
            <w:szCs w:val="24"/>
          </w:rPr>
          <w:tab/>
        </w:r>
        <w:r w:rsidRPr="00617FAC">
          <w:rPr>
            <w:rFonts w:ascii="Times New Roman" w:hAnsi="Times New Roman" w:cs="Times New Roman"/>
            <w:noProof/>
            <w:webHidden/>
            <w:sz w:val="24"/>
            <w:szCs w:val="24"/>
          </w:rPr>
          <w:fldChar w:fldCharType="begin"/>
        </w:r>
        <w:r w:rsidRPr="00617FAC">
          <w:rPr>
            <w:rFonts w:ascii="Times New Roman" w:hAnsi="Times New Roman" w:cs="Times New Roman"/>
            <w:noProof/>
            <w:webHidden/>
            <w:sz w:val="24"/>
            <w:szCs w:val="24"/>
          </w:rPr>
          <w:instrText xml:space="preserve"> PAGEREF _Toc212910383 \h </w:instrText>
        </w:r>
        <w:r w:rsidRPr="00617FAC">
          <w:rPr>
            <w:rFonts w:ascii="Times New Roman" w:hAnsi="Times New Roman" w:cs="Times New Roman"/>
            <w:noProof/>
            <w:webHidden/>
            <w:sz w:val="24"/>
            <w:szCs w:val="24"/>
          </w:rPr>
        </w:r>
        <w:r w:rsidRPr="00617FAC">
          <w:rPr>
            <w:rFonts w:ascii="Times New Roman" w:hAnsi="Times New Roman" w:cs="Times New Roman"/>
            <w:noProof/>
            <w:webHidden/>
            <w:sz w:val="24"/>
            <w:szCs w:val="24"/>
          </w:rPr>
          <w:fldChar w:fldCharType="separate"/>
        </w:r>
        <w:r w:rsidRPr="00617FAC">
          <w:rPr>
            <w:rFonts w:ascii="Times New Roman" w:hAnsi="Times New Roman" w:cs="Times New Roman"/>
            <w:noProof/>
            <w:webHidden/>
            <w:sz w:val="24"/>
            <w:szCs w:val="24"/>
          </w:rPr>
          <w:t>10</w:t>
        </w:r>
        <w:r w:rsidRPr="00617FAC">
          <w:rPr>
            <w:rFonts w:ascii="Times New Roman" w:hAnsi="Times New Roman" w:cs="Times New Roman"/>
            <w:noProof/>
            <w:webHidden/>
            <w:sz w:val="24"/>
            <w:szCs w:val="24"/>
          </w:rPr>
          <w:fldChar w:fldCharType="end"/>
        </w:r>
      </w:hyperlink>
    </w:p>
    <w:p w14:paraId="21FA0861" w14:textId="32012589" w:rsidR="00617FAC" w:rsidRPr="00617FAC" w:rsidRDefault="00617FAC">
      <w:pPr>
        <w:pStyle w:val="TJ2"/>
        <w:tabs>
          <w:tab w:val="left" w:pos="1200"/>
          <w:tab w:val="right" w:leader="dot" w:pos="9060"/>
        </w:tabs>
        <w:rPr>
          <w:rFonts w:ascii="Times New Roman" w:eastAsiaTheme="minorEastAsia" w:hAnsi="Times New Roman" w:cs="Times New Roman"/>
          <w:smallCaps w:val="0"/>
          <w:noProof/>
          <w:sz w:val="24"/>
          <w:szCs w:val="24"/>
          <w:lang w:eastAsia="hu-HU"/>
        </w:rPr>
      </w:pPr>
      <w:hyperlink w:anchor="_Toc212910384" w:history="1">
        <w:r w:rsidRPr="00617FAC">
          <w:rPr>
            <w:rStyle w:val="Hiperhivatkozs"/>
            <w:rFonts w:ascii="Times New Roman" w:hAnsi="Times New Roman" w:cs="Times New Roman"/>
            <w:noProof/>
            <w:sz w:val="24"/>
            <w:szCs w:val="24"/>
          </w:rPr>
          <w:t>4.2.</w:t>
        </w:r>
        <w:r w:rsidRPr="00617FAC">
          <w:rPr>
            <w:rFonts w:ascii="Times New Roman" w:eastAsiaTheme="minorEastAsia" w:hAnsi="Times New Roman" w:cs="Times New Roman"/>
            <w:smallCaps w:val="0"/>
            <w:noProof/>
            <w:sz w:val="24"/>
            <w:szCs w:val="24"/>
            <w:lang w:eastAsia="hu-HU"/>
          </w:rPr>
          <w:tab/>
        </w:r>
        <w:r w:rsidRPr="00617FAC">
          <w:rPr>
            <w:rStyle w:val="Hiperhivatkozs"/>
            <w:rFonts w:ascii="Times New Roman" w:hAnsi="Times New Roman" w:cs="Times New Roman"/>
            <w:noProof/>
            <w:sz w:val="24"/>
            <w:szCs w:val="24"/>
          </w:rPr>
          <w:t>Dekoherencia-szimuláció</w:t>
        </w:r>
        <w:r w:rsidRPr="00617FAC">
          <w:rPr>
            <w:rFonts w:ascii="Times New Roman" w:hAnsi="Times New Roman" w:cs="Times New Roman"/>
            <w:noProof/>
            <w:webHidden/>
            <w:sz w:val="24"/>
            <w:szCs w:val="24"/>
          </w:rPr>
          <w:tab/>
        </w:r>
        <w:r w:rsidRPr="00617FAC">
          <w:rPr>
            <w:rFonts w:ascii="Times New Roman" w:hAnsi="Times New Roman" w:cs="Times New Roman"/>
            <w:noProof/>
            <w:webHidden/>
            <w:sz w:val="24"/>
            <w:szCs w:val="24"/>
          </w:rPr>
          <w:fldChar w:fldCharType="begin"/>
        </w:r>
        <w:r w:rsidRPr="00617FAC">
          <w:rPr>
            <w:rFonts w:ascii="Times New Roman" w:hAnsi="Times New Roman" w:cs="Times New Roman"/>
            <w:noProof/>
            <w:webHidden/>
            <w:sz w:val="24"/>
            <w:szCs w:val="24"/>
          </w:rPr>
          <w:instrText xml:space="preserve"> PAGEREF _Toc212910384 \h </w:instrText>
        </w:r>
        <w:r w:rsidRPr="00617FAC">
          <w:rPr>
            <w:rFonts w:ascii="Times New Roman" w:hAnsi="Times New Roman" w:cs="Times New Roman"/>
            <w:noProof/>
            <w:webHidden/>
            <w:sz w:val="24"/>
            <w:szCs w:val="24"/>
          </w:rPr>
        </w:r>
        <w:r w:rsidRPr="00617FAC">
          <w:rPr>
            <w:rFonts w:ascii="Times New Roman" w:hAnsi="Times New Roman" w:cs="Times New Roman"/>
            <w:noProof/>
            <w:webHidden/>
            <w:sz w:val="24"/>
            <w:szCs w:val="24"/>
          </w:rPr>
          <w:fldChar w:fldCharType="separate"/>
        </w:r>
        <w:r w:rsidRPr="00617FAC">
          <w:rPr>
            <w:rFonts w:ascii="Times New Roman" w:hAnsi="Times New Roman" w:cs="Times New Roman"/>
            <w:noProof/>
            <w:webHidden/>
            <w:sz w:val="24"/>
            <w:szCs w:val="24"/>
          </w:rPr>
          <w:t>12</w:t>
        </w:r>
        <w:r w:rsidRPr="00617FAC">
          <w:rPr>
            <w:rFonts w:ascii="Times New Roman" w:hAnsi="Times New Roman" w:cs="Times New Roman"/>
            <w:noProof/>
            <w:webHidden/>
            <w:sz w:val="24"/>
            <w:szCs w:val="24"/>
          </w:rPr>
          <w:fldChar w:fldCharType="end"/>
        </w:r>
      </w:hyperlink>
    </w:p>
    <w:p w14:paraId="10203BDF" w14:textId="1CB42C75" w:rsidR="00617FAC" w:rsidRPr="00617FAC" w:rsidRDefault="00617FAC">
      <w:pPr>
        <w:pStyle w:val="TJ2"/>
        <w:tabs>
          <w:tab w:val="left" w:pos="1200"/>
          <w:tab w:val="right" w:leader="dot" w:pos="9060"/>
        </w:tabs>
        <w:rPr>
          <w:rFonts w:ascii="Times New Roman" w:eastAsiaTheme="minorEastAsia" w:hAnsi="Times New Roman" w:cs="Times New Roman"/>
          <w:smallCaps w:val="0"/>
          <w:noProof/>
          <w:sz w:val="24"/>
          <w:szCs w:val="24"/>
          <w:lang w:eastAsia="hu-HU"/>
        </w:rPr>
      </w:pPr>
      <w:hyperlink w:anchor="_Toc212910385" w:history="1">
        <w:r w:rsidRPr="00617FAC">
          <w:rPr>
            <w:rStyle w:val="Hiperhivatkozs"/>
            <w:rFonts w:ascii="Times New Roman" w:hAnsi="Times New Roman" w:cs="Times New Roman"/>
            <w:noProof/>
            <w:sz w:val="24"/>
            <w:szCs w:val="24"/>
          </w:rPr>
          <w:t>4.3.</w:t>
        </w:r>
        <w:r w:rsidRPr="00617FAC">
          <w:rPr>
            <w:rFonts w:ascii="Times New Roman" w:eastAsiaTheme="minorEastAsia" w:hAnsi="Times New Roman" w:cs="Times New Roman"/>
            <w:smallCaps w:val="0"/>
            <w:noProof/>
            <w:sz w:val="24"/>
            <w:szCs w:val="24"/>
            <w:lang w:eastAsia="hu-HU"/>
          </w:rPr>
          <w:tab/>
        </w:r>
        <w:r w:rsidRPr="00617FAC">
          <w:rPr>
            <w:rStyle w:val="Hiperhivatkozs"/>
            <w:rFonts w:ascii="Times New Roman" w:hAnsi="Times New Roman" w:cs="Times New Roman"/>
            <w:noProof/>
            <w:sz w:val="24"/>
            <w:szCs w:val="24"/>
          </w:rPr>
          <w:t>Bifurkáció-detektálás</w:t>
        </w:r>
        <w:r w:rsidRPr="00617FAC">
          <w:rPr>
            <w:rFonts w:ascii="Times New Roman" w:hAnsi="Times New Roman" w:cs="Times New Roman"/>
            <w:noProof/>
            <w:webHidden/>
            <w:sz w:val="24"/>
            <w:szCs w:val="24"/>
          </w:rPr>
          <w:tab/>
        </w:r>
        <w:r w:rsidRPr="00617FAC">
          <w:rPr>
            <w:rFonts w:ascii="Times New Roman" w:hAnsi="Times New Roman" w:cs="Times New Roman"/>
            <w:noProof/>
            <w:webHidden/>
            <w:sz w:val="24"/>
            <w:szCs w:val="24"/>
          </w:rPr>
          <w:fldChar w:fldCharType="begin"/>
        </w:r>
        <w:r w:rsidRPr="00617FAC">
          <w:rPr>
            <w:rFonts w:ascii="Times New Roman" w:hAnsi="Times New Roman" w:cs="Times New Roman"/>
            <w:noProof/>
            <w:webHidden/>
            <w:sz w:val="24"/>
            <w:szCs w:val="24"/>
          </w:rPr>
          <w:instrText xml:space="preserve"> PAGEREF _Toc212910385 \h </w:instrText>
        </w:r>
        <w:r w:rsidRPr="00617FAC">
          <w:rPr>
            <w:rFonts w:ascii="Times New Roman" w:hAnsi="Times New Roman" w:cs="Times New Roman"/>
            <w:noProof/>
            <w:webHidden/>
            <w:sz w:val="24"/>
            <w:szCs w:val="24"/>
          </w:rPr>
        </w:r>
        <w:r w:rsidRPr="00617FAC">
          <w:rPr>
            <w:rFonts w:ascii="Times New Roman" w:hAnsi="Times New Roman" w:cs="Times New Roman"/>
            <w:noProof/>
            <w:webHidden/>
            <w:sz w:val="24"/>
            <w:szCs w:val="24"/>
          </w:rPr>
          <w:fldChar w:fldCharType="separate"/>
        </w:r>
        <w:r w:rsidRPr="00617FAC">
          <w:rPr>
            <w:rFonts w:ascii="Times New Roman" w:hAnsi="Times New Roman" w:cs="Times New Roman"/>
            <w:noProof/>
            <w:webHidden/>
            <w:sz w:val="24"/>
            <w:szCs w:val="24"/>
          </w:rPr>
          <w:t>12</w:t>
        </w:r>
        <w:r w:rsidRPr="00617FAC">
          <w:rPr>
            <w:rFonts w:ascii="Times New Roman" w:hAnsi="Times New Roman" w:cs="Times New Roman"/>
            <w:noProof/>
            <w:webHidden/>
            <w:sz w:val="24"/>
            <w:szCs w:val="24"/>
          </w:rPr>
          <w:fldChar w:fldCharType="end"/>
        </w:r>
      </w:hyperlink>
    </w:p>
    <w:p w14:paraId="3FA58A31" w14:textId="3F13E8C9" w:rsidR="00617FAC" w:rsidRPr="00617FAC" w:rsidRDefault="00617FAC" w:rsidP="00617FAC">
      <w:pPr>
        <w:pStyle w:val="TJ2"/>
        <w:tabs>
          <w:tab w:val="left" w:pos="709"/>
          <w:tab w:val="right" w:leader="dot" w:pos="9060"/>
        </w:tabs>
        <w:ind w:left="1276" w:hanging="709"/>
        <w:rPr>
          <w:rFonts w:ascii="Times New Roman" w:eastAsiaTheme="minorEastAsia" w:hAnsi="Times New Roman" w:cs="Times New Roman"/>
          <w:smallCaps w:val="0"/>
          <w:noProof/>
          <w:sz w:val="24"/>
          <w:szCs w:val="24"/>
          <w:lang w:eastAsia="hu-HU"/>
        </w:rPr>
      </w:pPr>
      <w:hyperlink w:anchor="_Toc212910386" w:history="1">
        <w:r w:rsidRPr="00617FAC">
          <w:rPr>
            <w:rStyle w:val="Hiperhivatkozs"/>
            <w:rFonts w:ascii="Times New Roman" w:hAnsi="Times New Roman" w:cs="Times New Roman"/>
            <w:noProof/>
            <w:sz w:val="24"/>
            <w:szCs w:val="24"/>
          </w:rPr>
          <w:t>4.4.</w:t>
        </w:r>
        <w:r>
          <w:rPr>
            <w:rFonts w:ascii="Times New Roman" w:eastAsiaTheme="minorEastAsia" w:hAnsi="Times New Roman" w:cs="Times New Roman"/>
            <w:smallCaps w:val="0"/>
            <w:noProof/>
            <w:sz w:val="24"/>
            <w:szCs w:val="24"/>
            <w:lang w:eastAsia="hu-HU"/>
          </w:rPr>
          <w:t xml:space="preserve">     </w:t>
        </w:r>
        <w:r w:rsidRPr="00617FAC">
          <w:rPr>
            <w:rStyle w:val="Hiperhivatkozs"/>
            <w:rFonts w:ascii="Times New Roman" w:hAnsi="Times New Roman" w:cs="Times New Roman"/>
            <w:noProof/>
            <w:sz w:val="24"/>
            <w:szCs w:val="24"/>
          </w:rPr>
          <w:t>Az önvezető rendszerek és a kvantum-inspirált homogenitás modellezés kapcsolata</w:t>
        </w:r>
        <w:r w:rsidRPr="00617FAC">
          <w:rPr>
            <w:rFonts w:ascii="Times New Roman" w:hAnsi="Times New Roman" w:cs="Times New Roman"/>
            <w:noProof/>
            <w:webHidden/>
            <w:sz w:val="24"/>
            <w:szCs w:val="24"/>
          </w:rPr>
          <w:tab/>
        </w:r>
        <w:r w:rsidRPr="00617FAC">
          <w:rPr>
            <w:rFonts w:ascii="Times New Roman" w:hAnsi="Times New Roman" w:cs="Times New Roman"/>
            <w:noProof/>
            <w:webHidden/>
            <w:sz w:val="24"/>
            <w:szCs w:val="24"/>
          </w:rPr>
          <w:fldChar w:fldCharType="begin"/>
        </w:r>
        <w:r w:rsidRPr="00617FAC">
          <w:rPr>
            <w:rFonts w:ascii="Times New Roman" w:hAnsi="Times New Roman" w:cs="Times New Roman"/>
            <w:noProof/>
            <w:webHidden/>
            <w:sz w:val="24"/>
            <w:szCs w:val="24"/>
          </w:rPr>
          <w:instrText xml:space="preserve"> PAGEREF _Toc212910386 \h </w:instrText>
        </w:r>
        <w:r w:rsidRPr="00617FAC">
          <w:rPr>
            <w:rFonts w:ascii="Times New Roman" w:hAnsi="Times New Roman" w:cs="Times New Roman"/>
            <w:noProof/>
            <w:webHidden/>
            <w:sz w:val="24"/>
            <w:szCs w:val="24"/>
          </w:rPr>
        </w:r>
        <w:r w:rsidRPr="00617FAC">
          <w:rPr>
            <w:rFonts w:ascii="Times New Roman" w:hAnsi="Times New Roman" w:cs="Times New Roman"/>
            <w:noProof/>
            <w:webHidden/>
            <w:sz w:val="24"/>
            <w:szCs w:val="24"/>
          </w:rPr>
          <w:fldChar w:fldCharType="separate"/>
        </w:r>
        <w:r w:rsidRPr="00617FAC">
          <w:rPr>
            <w:rFonts w:ascii="Times New Roman" w:hAnsi="Times New Roman" w:cs="Times New Roman"/>
            <w:noProof/>
            <w:webHidden/>
            <w:sz w:val="24"/>
            <w:szCs w:val="24"/>
          </w:rPr>
          <w:t>13</w:t>
        </w:r>
        <w:r w:rsidRPr="00617FAC">
          <w:rPr>
            <w:rFonts w:ascii="Times New Roman" w:hAnsi="Times New Roman" w:cs="Times New Roman"/>
            <w:noProof/>
            <w:webHidden/>
            <w:sz w:val="24"/>
            <w:szCs w:val="24"/>
          </w:rPr>
          <w:fldChar w:fldCharType="end"/>
        </w:r>
      </w:hyperlink>
    </w:p>
    <w:p w14:paraId="4CB34BC6" w14:textId="4E25E6A3" w:rsidR="00617FAC" w:rsidRPr="00617FAC" w:rsidRDefault="00617FAC">
      <w:pPr>
        <w:pStyle w:val="TJ1"/>
        <w:tabs>
          <w:tab w:val="left" w:pos="960"/>
          <w:tab w:val="right" w:leader="dot" w:pos="9060"/>
        </w:tabs>
        <w:rPr>
          <w:rFonts w:ascii="Times New Roman" w:eastAsiaTheme="minorEastAsia" w:hAnsi="Times New Roman" w:cs="Times New Roman"/>
          <w:b w:val="0"/>
          <w:bCs w:val="0"/>
          <w:caps w:val="0"/>
          <w:noProof/>
          <w:sz w:val="24"/>
          <w:szCs w:val="24"/>
          <w:lang w:eastAsia="hu-HU"/>
        </w:rPr>
      </w:pPr>
      <w:hyperlink w:anchor="_Toc212910387" w:history="1">
        <w:r w:rsidRPr="00617FAC">
          <w:rPr>
            <w:rStyle w:val="Hiperhivatkozs"/>
            <w:rFonts w:ascii="Times New Roman" w:hAnsi="Times New Roman" w:cs="Times New Roman"/>
            <w:noProof/>
            <w:sz w:val="24"/>
            <w:szCs w:val="24"/>
          </w:rPr>
          <w:t>5.</w:t>
        </w:r>
        <w:r w:rsidRPr="00617FAC">
          <w:rPr>
            <w:rFonts w:ascii="Times New Roman" w:eastAsiaTheme="minorEastAsia" w:hAnsi="Times New Roman" w:cs="Times New Roman"/>
            <w:b w:val="0"/>
            <w:bCs w:val="0"/>
            <w:caps w:val="0"/>
            <w:noProof/>
            <w:sz w:val="24"/>
            <w:szCs w:val="24"/>
            <w:lang w:eastAsia="hu-HU"/>
          </w:rPr>
          <w:tab/>
        </w:r>
        <w:r w:rsidRPr="00617FAC">
          <w:rPr>
            <w:rStyle w:val="Hiperhivatkozs"/>
            <w:rFonts w:ascii="Times New Roman" w:hAnsi="Times New Roman" w:cs="Times New Roman"/>
            <w:noProof/>
            <w:sz w:val="24"/>
            <w:szCs w:val="24"/>
          </w:rPr>
          <w:t>A modell előnyei és gyakorlati alkalmazhatósága</w:t>
        </w:r>
        <w:r w:rsidRPr="00617FAC">
          <w:rPr>
            <w:rFonts w:ascii="Times New Roman" w:hAnsi="Times New Roman" w:cs="Times New Roman"/>
            <w:noProof/>
            <w:webHidden/>
            <w:sz w:val="24"/>
            <w:szCs w:val="24"/>
          </w:rPr>
          <w:tab/>
        </w:r>
        <w:r w:rsidRPr="00617FAC">
          <w:rPr>
            <w:rFonts w:ascii="Times New Roman" w:hAnsi="Times New Roman" w:cs="Times New Roman"/>
            <w:noProof/>
            <w:webHidden/>
            <w:sz w:val="24"/>
            <w:szCs w:val="24"/>
          </w:rPr>
          <w:fldChar w:fldCharType="begin"/>
        </w:r>
        <w:r w:rsidRPr="00617FAC">
          <w:rPr>
            <w:rFonts w:ascii="Times New Roman" w:hAnsi="Times New Roman" w:cs="Times New Roman"/>
            <w:noProof/>
            <w:webHidden/>
            <w:sz w:val="24"/>
            <w:szCs w:val="24"/>
          </w:rPr>
          <w:instrText xml:space="preserve"> PAGEREF _Toc212910387 \h </w:instrText>
        </w:r>
        <w:r w:rsidRPr="00617FAC">
          <w:rPr>
            <w:rFonts w:ascii="Times New Roman" w:hAnsi="Times New Roman" w:cs="Times New Roman"/>
            <w:noProof/>
            <w:webHidden/>
            <w:sz w:val="24"/>
            <w:szCs w:val="24"/>
          </w:rPr>
        </w:r>
        <w:r w:rsidRPr="00617FAC">
          <w:rPr>
            <w:rFonts w:ascii="Times New Roman" w:hAnsi="Times New Roman" w:cs="Times New Roman"/>
            <w:noProof/>
            <w:webHidden/>
            <w:sz w:val="24"/>
            <w:szCs w:val="24"/>
          </w:rPr>
          <w:fldChar w:fldCharType="separate"/>
        </w:r>
        <w:r w:rsidRPr="00617FAC">
          <w:rPr>
            <w:rFonts w:ascii="Times New Roman" w:hAnsi="Times New Roman" w:cs="Times New Roman"/>
            <w:noProof/>
            <w:webHidden/>
            <w:sz w:val="24"/>
            <w:szCs w:val="24"/>
          </w:rPr>
          <w:t>14</w:t>
        </w:r>
        <w:r w:rsidRPr="00617FAC">
          <w:rPr>
            <w:rFonts w:ascii="Times New Roman" w:hAnsi="Times New Roman" w:cs="Times New Roman"/>
            <w:noProof/>
            <w:webHidden/>
            <w:sz w:val="24"/>
            <w:szCs w:val="24"/>
          </w:rPr>
          <w:fldChar w:fldCharType="end"/>
        </w:r>
      </w:hyperlink>
    </w:p>
    <w:p w14:paraId="156EB9D5" w14:textId="6FC1D69E" w:rsidR="00617FAC" w:rsidRPr="00617FAC" w:rsidRDefault="00617FAC">
      <w:pPr>
        <w:pStyle w:val="TJ2"/>
        <w:tabs>
          <w:tab w:val="left" w:pos="1200"/>
          <w:tab w:val="right" w:leader="dot" w:pos="9060"/>
        </w:tabs>
        <w:rPr>
          <w:rFonts w:ascii="Times New Roman" w:eastAsiaTheme="minorEastAsia" w:hAnsi="Times New Roman" w:cs="Times New Roman"/>
          <w:smallCaps w:val="0"/>
          <w:noProof/>
          <w:sz w:val="24"/>
          <w:szCs w:val="24"/>
          <w:lang w:eastAsia="hu-HU"/>
        </w:rPr>
      </w:pPr>
      <w:hyperlink w:anchor="_Toc212910388" w:history="1">
        <w:r w:rsidRPr="00617FAC">
          <w:rPr>
            <w:rStyle w:val="Hiperhivatkozs"/>
            <w:rFonts w:ascii="Times New Roman" w:hAnsi="Times New Roman" w:cs="Times New Roman"/>
            <w:noProof/>
            <w:sz w:val="24"/>
            <w:szCs w:val="24"/>
          </w:rPr>
          <w:t>5.1.</w:t>
        </w:r>
        <w:r w:rsidRPr="00617FAC">
          <w:rPr>
            <w:rFonts w:ascii="Times New Roman" w:eastAsiaTheme="minorEastAsia" w:hAnsi="Times New Roman" w:cs="Times New Roman"/>
            <w:smallCaps w:val="0"/>
            <w:noProof/>
            <w:sz w:val="24"/>
            <w:szCs w:val="24"/>
            <w:lang w:eastAsia="hu-HU"/>
          </w:rPr>
          <w:tab/>
        </w:r>
        <w:r w:rsidRPr="00617FAC">
          <w:rPr>
            <w:rStyle w:val="Hiperhivatkozs"/>
            <w:rFonts w:ascii="Times New Roman" w:hAnsi="Times New Roman" w:cs="Times New Roman"/>
            <w:noProof/>
            <w:sz w:val="24"/>
            <w:szCs w:val="24"/>
          </w:rPr>
          <w:t>Korai válságjelző rendszerek</w:t>
        </w:r>
        <w:r w:rsidRPr="00617FAC">
          <w:rPr>
            <w:rFonts w:ascii="Times New Roman" w:hAnsi="Times New Roman" w:cs="Times New Roman"/>
            <w:noProof/>
            <w:webHidden/>
            <w:sz w:val="24"/>
            <w:szCs w:val="24"/>
          </w:rPr>
          <w:tab/>
        </w:r>
        <w:r w:rsidRPr="00617FAC">
          <w:rPr>
            <w:rFonts w:ascii="Times New Roman" w:hAnsi="Times New Roman" w:cs="Times New Roman"/>
            <w:noProof/>
            <w:webHidden/>
            <w:sz w:val="24"/>
            <w:szCs w:val="24"/>
          </w:rPr>
          <w:fldChar w:fldCharType="begin"/>
        </w:r>
        <w:r w:rsidRPr="00617FAC">
          <w:rPr>
            <w:rFonts w:ascii="Times New Roman" w:hAnsi="Times New Roman" w:cs="Times New Roman"/>
            <w:noProof/>
            <w:webHidden/>
            <w:sz w:val="24"/>
            <w:szCs w:val="24"/>
          </w:rPr>
          <w:instrText xml:space="preserve"> PAGEREF _Toc212910388 \h </w:instrText>
        </w:r>
        <w:r w:rsidRPr="00617FAC">
          <w:rPr>
            <w:rFonts w:ascii="Times New Roman" w:hAnsi="Times New Roman" w:cs="Times New Roman"/>
            <w:noProof/>
            <w:webHidden/>
            <w:sz w:val="24"/>
            <w:szCs w:val="24"/>
          </w:rPr>
        </w:r>
        <w:r w:rsidRPr="00617FAC">
          <w:rPr>
            <w:rFonts w:ascii="Times New Roman" w:hAnsi="Times New Roman" w:cs="Times New Roman"/>
            <w:noProof/>
            <w:webHidden/>
            <w:sz w:val="24"/>
            <w:szCs w:val="24"/>
          </w:rPr>
          <w:fldChar w:fldCharType="separate"/>
        </w:r>
        <w:r w:rsidRPr="00617FAC">
          <w:rPr>
            <w:rFonts w:ascii="Times New Roman" w:hAnsi="Times New Roman" w:cs="Times New Roman"/>
            <w:noProof/>
            <w:webHidden/>
            <w:sz w:val="24"/>
            <w:szCs w:val="24"/>
          </w:rPr>
          <w:t>14</w:t>
        </w:r>
        <w:r w:rsidRPr="00617FAC">
          <w:rPr>
            <w:rFonts w:ascii="Times New Roman" w:hAnsi="Times New Roman" w:cs="Times New Roman"/>
            <w:noProof/>
            <w:webHidden/>
            <w:sz w:val="24"/>
            <w:szCs w:val="24"/>
          </w:rPr>
          <w:fldChar w:fldCharType="end"/>
        </w:r>
      </w:hyperlink>
    </w:p>
    <w:p w14:paraId="53DBDE1E" w14:textId="6D6503EA" w:rsidR="00617FAC" w:rsidRPr="00617FAC" w:rsidRDefault="00617FAC">
      <w:pPr>
        <w:pStyle w:val="TJ2"/>
        <w:tabs>
          <w:tab w:val="left" w:pos="1200"/>
          <w:tab w:val="right" w:leader="dot" w:pos="9060"/>
        </w:tabs>
        <w:rPr>
          <w:rFonts w:ascii="Times New Roman" w:eastAsiaTheme="minorEastAsia" w:hAnsi="Times New Roman" w:cs="Times New Roman"/>
          <w:smallCaps w:val="0"/>
          <w:noProof/>
          <w:sz w:val="24"/>
          <w:szCs w:val="24"/>
          <w:lang w:eastAsia="hu-HU"/>
        </w:rPr>
      </w:pPr>
      <w:hyperlink w:anchor="_Toc212910389" w:history="1">
        <w:r w:rsidRPr="00617FAC">
          <w:rPr>
            <w:rStyle w:val="Hiperhivatkozs"/>
            <w:rFonts w:ascii="Times New Roman" w:hAnsi="Times New Roman" w:cs="Times New Roman"/>
            <w:noProof/>
            <w:sz w:val="24"/>
            <w:szCs w:val="24"/>
          </w:rPr>
          <w:t>5.2.</w:t>
        </w:r>
        <w:r w:rsidRPr="00617FAC">
          <w:rPr>
            <w:rFonts w:ascii="Times New Roman" w:eastAsiaTheme="minorEastAsia" w:hAnsi="Times New Roman" w:cs="Times New Roman"/>
            <w:smallCaps w:val="0"/>
            <w:noProof/>
            <w:sz w:val="24"/>
            <w:szCs w:val="24"/>
            <w:lang w:eastAsia="hu-HU"/>
          </w:rPr>
          <w:tab/>
        </w:r>
        <w:r w:rsidRPr="00617FAC">
          <w:rPr>
            <w:rStyle w:val="Hiperhivatkozs"/>
            <w:rFonts w:ascii="Times New Roman" w:hAnsi="Times New Roman" w:cs="Times New Roman"/>
            <w:noProof/>
            <w:sz w:val="24"/>
            <w:szCs w:val="24"/>
          </w:rPr>
          <w:t>Többszcenáriós politikai döntéstámogatás</w:t>
        </w:r>
        <w:r w:rsidRPr="00617FAC">
          <w:rPr>
            <w:rFonts w:ascii="Times New Roman" w:hAnsi="Times New Roman" w:cs="Times New Roman"/>
            <w:noProof/>
            <w:webHidden/>
            <w:sz w:val="24"/>
            <w:szCs w:val="24"/>
          </w:rPr>
          <w:tab/>
        </w:r>
        <w:r w:rsidRPr="00617FAC">
          <w:rPr>
            <w:rFonts w:ascii="Times New Roman" w:hAnsi="Times New Roman" w:cs="Times New Roman"/>
            <w:noProof/>
            <w:webHidden/>
            <w:sz w:val="24"/>
            <w:szCs w:val="24"/>
          </w:rPr>
          <w:fldChar w:fldCharType="begin"/>
        </w:r>
        <w:r w:rsidRPr="00617FAC">
          <w:rPr>
            <w:rFonts w:ascii="Times New Roman" w:hAnsi="Times New Roman" w:cs="Times New Roman"/>
            <w:noProof/>
            <w:webHidden/>
            <w:sz w:val="24"/>
            <w:szCs w:val="24"/>
          </w:rPr>
          <w:instrText xml:space="preserve"> PAGEREF _Toc212910389 \h </w:instrText>
        </w:r>
        <w:r w:rsidRPr="00617FAC">
          <w:rPr>
            <w:rFonts w:ascii="Times New Roman" w:hAnsi="Times New Roman" w:cs="Times New Roman"/>
            <w:noProof/>
            <w:webHidden/>
            <w:sz w:val="24"/>
            <w:szCs w:val="24"/>
          </w:rPr>
        </w:r>
        <w:r w:rsidRPr="00617FAC">
          <w:rPr>
            <w:rFonts w:ascii="Times New Roman" w:hAnsi="Times New Roman" w:cs="Times New Roman"/>
            <w:noProof/>
            <w:webHidden/>
            <w:sz w:val="24"/>
            <w:szCs w:val="24"/>
          </w:rPr>
          <w:fldChar w:fldCharType="separate"/>
        </w:r>
        <w:r w:rsidRPr="00617FAC">
          <w:rPr>
            <w:rFonts w:ascii="Times New Roman" w:hAnsi="Times New Roman" w:cs="Times New Roman"/>
            <w:noProof/>
            <w:webHidden/>
            <w:sz w:val="24"/>
            <w:szCs w:val="24"/>
          </w:rPr>
          <w:t>14</w:t>
        </w:r>
        <w:r w:rsidRPr="00617FAC">
          <w:rPr>
            <w:rFonts w:ascii="Times New Roman" w:hAnsi="Times New Roman" w:cs="Times New Roman"/>
            <w:noProof/>
            <w:webHidden/>
            <w:sz w:val="24"/>
            <w:szCs w:val="24"/>
          </w:rPr>
          <w:fldChar w:fldCharType="end"/>
        </w:r>
      </w:hyperlink>
    </w:p>
    <w:p w14:paraId="34E51884" w14:textId="4FDFD0A9" w:rsidR="00617FAC" w:rsidRPr="00617FAC" w:rsidRDefault="00617FAC">
      <w:pPr>
        <w:pStyle w:val="TJ2"/>
        <w:tabs>
          <w:tab w:val="left" w:pos="1200"/>
          <w:tab w:val="right" w:leader="dot" w:pos="9060"/>
        </w:tabs>
        <w:rPr>
          <w:rFonts w:ascii="Times New Roman" w:eastAsiaTheme="minorEastAsia" w:hAnsi="Times New Roman" w:cs="Times New Roman"/>
          <w:smallCaps w:val="0"/>
          <w:noProof/>
          <w:sz w:val="24"/>
          <w:szCs w:val="24"/>
          <w:lang w:eastAsia="hu-HU"/>
        </w:rPr>
      </w:pPr>
      <w:hyperlink w:anchor="_Toc212910390" w:history="1">
        <w:r w:rsidRPr="00617FAC">
          <w:rPr>
            <w:rStyle w:val="Hiperhivatkozs"/>
            <w:rFonts w:ascii="Times New Roman" w:hAnsi="Times New Roman" w:cs="Times New Roman"/>
            <w:noProof/>
            <w:sz w:val="24"/>
            <w:szCs w:val="24"/>
          </w:rPr>
          <w:t>5.3.</w:t>
        </w:r>
        <w:r w:rsidRPr="00617FAC">
          <w:rPr>
            <w:rFonts w:ascii="Times New Roman" w:eastAsiaTheme="minorEastAsia" w:hAnsi="Times New Roman" w:cs="Times New Roman"/>
            <w:smallCaps w:val="0"/>
            <w:noProof/>
            <w:sz w:val="24"/>
            <w:szCs w:val="24"/>
            <w:lang w:eastAsia="hu-HU"/>
          </w:rPr>
          <w:tab/>
        </w:r>
        <w:r w:rsidRPr="00617FAC">
          <w:rPr>
            <w:rStyle w:val="Hiperhivatkozs"/>
            <w:rFonts w:ascii="Times New Roman" w:hAnsi="Times New Roman" w:cs="Times New Roman"/>
            <w:noProof/>
            <w:sz w:val="24"/>
            <w:szCs w:val="24"/>
          </w:rPr>
          <w:t>Objektív, automatizált monitoring</w:t>
        </w:r>
        <w:r w:rsidRPr="00617FAC">
          <w:rPr>
            <w:rFonts w:ascii="Times New Roman" w:hAnsi="Times New Roman" w:cs="Times New Roman"/>
            <w:noProof/>
            <w:webHidden/>
            <w:sz w:val="24"/>
            <w:szCs w:val="24"/>
          </w:rPr>
          <w:tab/>
        </w:r>
        <w:r w:rsidRPr="00617FAC">
          <w:rPr>
            <w:rFonts w:ascii="Times New Roman" w:hAnsi="Times New Roman" w:cs="Times New Roman"/>
            <w:noProof/>
            <w:webHidden/>
            <w:sz w:val="24"/>
            <w:szCs w:val="24"/>
          </w:rPr>
          <w:fldChar w:fldCharType="begin"/>
        </w:r>
        <w:r w:rsidRPr="00617FAC">
          <w:rPr>
            <w:rFonts w:ascii="Times New Roman" w:hAnsi="Times New Roman" w:cs="Times New Roman"/>
            <w:noProof/>
            <w:webHidden/>
            <w:sz w:val="24"/>
            <w:szCs w:val="24"/>
          </w:rPr>
          <w:instrText xml:space="preserve"> PAGEREF _Toc212910390 \h </w:instrText>
        </w:r>
        <w:r w:rsidRPr="00617FAC">
          <w:rPr>
            <w:rFonts w:ascii="Times New Roman" w:hAnsi="Times New Roman" w:cs="Times New Roman"/>
            <w:noProof/>
            <w:webHidden/>
            <w:sz w:val="24"/>
            <w:szCs w:val="24"/>
          </w:rPr>
        </w:r>
        <w:r w:rsidRPr="00617FAC">
          <w:rPr>
            <w:rFonts w:ascii="Times New Roman" w:hAnsi="Times New Roman" w:cs="Times New Roman"/>
            <w:noProof/>
            <w:webHidden/>
            <w:sz w:val="24"/>
            <w:szCs w:val="24"/>
          </w:rPr>
          <w:fldChar w:fldCharType="separate"/>
        </w:r>
        <w:r w:rsidRPr="00617FAC">
          <w:rPr>
            <w:rFonts w:ascii="Times New Roman" w:hAnsi="Times New Roman" w:cs="Times New Roman"/>
            <w:noProof/>
            <w:webHidden/>
            <w:sz w:val="24"/>
            <w:szCs w:val="24"/>
          </w:rPr>
          <w:t>15</w:t>
        </w:r>
        <w:r w:rsidRPr="00617FAC">
          <w:rPr>
            <w:rFonts w:ascii="Times New Roman" w:hAnsi="Times New Roman" w:cs="Times New Roman"/>
            <w:noProof/>
            <w:webHidden/>
            <w:sz w:val="24"/>
            <w:szCs w:val="24"/>
          </w:rPr>
          <w:fldChar w:fldCharType="end"/>
        </w:r>
      </w:hyperlink>
    </w:p>
    <w:p w14:paraId="53EA3DD8" w14:textId="46E0CD7A" w:rsidR="00617FAC" w:rsidRPr="00617FAC" w:rsidRDefault="00617FAC">
      <w:pPr>
        <w:pStyle w:val="TJ2"/>
        <w:tabs>
          <w:tab w:val="left" w:pos="1200"/>
          <w:tab w:val="right" w:leader="dot" w:pos="9060"/>
        </w:tabs>
        <w:rPr>
          <w:rFonts w:ascii="Times New Roman" w:eastAsiaTheme="minorEastAsia" w:hAnsi="Times New Roman" w:cs="Times New Roman"/>
          <w:smallCaps w:val="0"/>
          <w:noProof/>
          <w:sz w:val="24"/>
          <w:szCs w:val="24"/>
          <w:lang w:eastAsia="hu-HU"/>
        </w:rPr>
      </w:pPr>
      <w:hyperlink w:anchor="_Toc212910391" w:history="1">
        <w:r w:rsidRPr="00617FAC">
          <w:rPr>
            <w:rStyle w:val="Hiperhivatkozs"/>
            <w:rFonts w:ascii="Times New Roman" w:hAnsi="Times New Roman" w:cs="Times New Roman"/>
            <w:noProof/>
            <w:sz w:val="24"/>
            <w:szCs w:val="24"/>
          </w:rPr>
          <w:t>5.4.</w:t>
        </w:r>
        <w:r w:rsidRPr="00617FAC">
          <w:rPr>
            <w:rFonts w:ascii="Times New Roman" w:eastAsiaTheme="minorEastAsia" w:hAnsi="Times New Roman" w:cs="Times New Roman"/>
            <w:smallCaps w:val="0"/>
            <w:noProof/>
            <w:sz w:val="24"/>
            <w:szCs w:val="24"/>
            <w:lang w:eastAsia="hu-HU"/>
          </w:rPr>
          <w:tab/>
        </w:r>
        <w:r w:rsidRPr="00617FAC">
          <w:rPr>
            <w:rStyle w:val="Hiperhivatkozs"/>
            <w:rFonts w:ascii="Times New Roman" w:hAnsi="Times New Roman" w:cs="Times New Roman"/>
            <w:noProof/>
            <w:sz w:val="24"/>
            <w:szCs w:val="24"/>
          </w:rPr>
          <w:t>Interdiszciplináris alkalmazhatóság</w:t>
        </w:r>
        <w:r w:rsidRPr="00617FAC">
          <w:rPr>
            <w:rFonts w:ascii="Times New Roman" w:hAnsi="Times New Roman" w:cs="Times New Roman"/>
            <w:noProof/>
            <w:webHidden/>
            <w:sz w:val="24"/>
            <w:szCs w:val="24"/>
          </w:rPr>
          <w:tab/>
        </w:r>
        <w:r w:rsidRPr="00617FAC">
          <w:rPr>
            <w:rFonts w:ascii="Times New Roman" w:hAnsi="Times New Roman" w:cs="Times New Roman"/>
            <w:noProof/>
            <w:webHidden/>
            <w:sz w:val="24"/>
            <w:szCs w:val="24"/>
          </w:rPr>
          <w:fldChar w:fldCharType="begin"/>
        </w:r>
        <w:r w:rsidRPr="00617FAC">
          <w:rPr>
            <w:rFonts w:ascii="Times New Roman" w:hAnsi="Times New Roman" w:cs="Times New Roman"/>
            <w:noProof/>
            <w:webHidden/>
            <w:sz w:val="24"/>
            <w:szCs w:val="24"/>
          </w:rPr>
          <w:instrText xml:space="preserve"> PAGEREF _Toc212910391 \h </w:instrText>
        </w:r>
        <w:r w:rsidRPr="00617FAC">
          <w:rPr>
            <w:rFonts w:ascii="Times New Roman" w:hAnsi="Times New Roman" w:cs="Times New Roman"/>
            <w:noProof/>
            <w:webHidden/>
            <w:sz w:val="24"/>
            <w:szCs w:val="24"/>
          </w:rPr>
        </w:r>
        <w:r w:rsidRPr="00617FAC">
          <w:rPr>
            <w:rFonts w:ascii="Times New Roman" w:hAnsi="Times New Roman" w:cs="Times New Roman"/>
            <w:noProof/>
            <w:webHidden/>
            <w:sz w:val="24"/>
            <w:szCs w:val="24"/>
          </w:rPr>
          <w:fldChar w:fldCharType="separate"/>
        </w:r>
        <w:r w:rsidRPr="00617FAC">
          <w:rPr>
            <w:rFonts w:ascii="Times New Roman" w:hAnsi="Times New Roman" w:cs="Times New Roman"/>
            <w:noProof/>
            <w:webHidden/>
            <w:sz w:val="24"/>
            <w:szCs w:val="24"/>
          </w:rPr>
          <w:t>15</w:t>
        </w:r>
        <w:r w:rsidRPr="00617FAC">
          <w:rPr>
            <w:rFonts w:ascii="Times New Roman" w:hAnsi="Times New Roman" w:cs="Times New Roman"/>
            <w:noProof/>
            <w:webHidden/>
            <w:sz w:val="24"/>
            <w:szCs w:val="24"/>
          </w:rPr>
          <w:fldChar w:fldCharType="end"/>
        </w:r>
      </w:hyperlink>
    </w:p>
    <w:p w14:paraId="5C5362A8" w14:textId="24766F02" w:rsidR="00617FAC" w:rsidRPr="00617FAC" w:rsidRDefault="00617FAC">
      <w:pPr>
        <w:pStyle w:val="TJ2"/>
        <w:tabs>
          <w:tab w:val="left" w:pos="1200"/>
          <w:tab w:val="right" w:leader="dot" w:pos="9060"/>
        </w:tabs>
        <w:rPr>
          <w:rFonts w:ascii="Times New Roman" w:eastAsiaTheme="minorEastAsia" w:hAnsi="Times New Roman" w:cs="Times New Roman"/>
          <w:smallCaps w:val="0"/>
          <w:noProof/>
          <w:sz w:val="24"/>
          <w:szCs w:val="24"/>
          <w:lang w:eastAsia="hu-HU"/>
        </w:rPr>
      </w:pPr>
      <w:hyperlink w:anchor="_Toc212910392" w:history="1">
        <w:r w:rsidRPr="00617FAC">
          <w:rPr>
            <w:rStyle w:val="Hiperhivatkozs"/>
            <w:rFonts w:ascii="Times New Roman" w:hAnsi="Times New Roman" w:cs="Times New Roman"/>
            <w:noProof/>
            <w:sz w:val="24"/>
            <w:szCs w:val="24"/>
          </w:rPr>
          <w:t>5.5.</w:t>
        </w:r>
        <w:r w:rsidRPr="00617FAC">
          <w:rPr>
            <w:rFonts w:ascii="Times New Roman" w:eastAsiaTheme="minorEastAsia" w:hAnsi="Times New Roman" w:cs="Times New Roman"/>
            <w:smallCaps w:val="0"/>
            <w:noProof/>
            <w:sz w:val="24"/>
            <w:szCs w:val="24"/>
            <w:lang w:eastAsia="hu-HU"/>
          </w:rPr>
          <w:tab/>
        </w:r>
        <w:r w:rsidRPr="00617FAC">
          <w:rPr>
            <w:rStyle w:val="Hiperhivatkozs"/>
            <w:rFonts w:ascii="Times New Roman" w:hAnsi="Times New Roman" w:cs="Times New Roman"/>
            <w:noProof/>
            <w:sz w:val="24"/>
            <w:szCs w:val="24"/>
          </w:rPr>
          <w:t>Technológiai feltételek</w:t>
        </w:r>
        <w:r w:rsidRPr="00617FAC">
          <w:rPr>
            <w:rFonts w:ascii="Times New Roman" w:hAnsi="Times New Roman" w:cs="Times New Roman"/>
            <w:noProof/>
            <w:webHidden/>
            <w:sz w:val="24"/>
            <w:szCs w:val="24"/>
          </w:rPr>
          <w:tab/>
        </w:r>
        <w:r w:rsidRPr="00617FAC">
          <w:rPr>
            <w:rFonts w:ascii="Times New Roman" w:hAnsi="Times New Roman" w:cs="Times New Roman"/>
            <w:noProof/>
            <w:webHidden/>
            <w:sz w:val="24"/>
            <w:szCs w:val="24"/>
          </w:rPr>
          <w:fldChar w:fldCharType="begin"/>
        </w:r>
        <w:r w:rsidRPr="00617FAC">
          <w:rPr>
            <w:rFonts w:ascii="Times New Roman" w:hAnsi="Times New Roman" w:cs="Times New Roman"/>
            <w:noProof/>
            <w:webHidden/>
            <w:sz w:val="24"/>
            <w:szCs w:val="24"/>
          </w:rPr>
          <w:instrText xml:space="preserve"> PAGEREF _Toc212910392 \h </w:instrText>
        </w:r>
        <w:r w:rsidRPr="00617FAC">
          <w:rPr>
            <w:rFonts w:ascii="Times New Roman" w:hAnsi="Times New Roman" w:cs="Times New Roman"/>
            <w:noProof/>
            <w:webHidden/>
            <w:sz w:val="24"/>
            <w:szCs w:val="24"/>
          </w:rPr>
        </w:r>
        <w:r w:rsidRPr="00617FAC">
          <w:rPr>
            <w:rFonts w:ascii="Times New Roman" w:hAnsi="Times New Roman" w:cs="Times New Roman"/>
            <w:noProof/>
            <w:webHidden/>
            <w:sz w:val="24"/>
            <w:szCs w:val="24"/>
          </w:rPr>
          <w:fldChar w:fldCharType="separate"/>
        </w:r>
        <w:r w:rsidRPr="00617FAC">
          <w:rPr>
            <w:rFonts w:ascii="Times New Roman" w:hAnsi="Times New Roman" w:cs="Times New Roman"/>
            <w:noProof/>
            <w:webHidden/>
            <w:sz w:val="24"/>
            <w:szCs w:val="24"/>
          </w:rPr>
          <w:t>15</w:t>
        </w:r>
        <w:r w:rsidRPr="00617FAC">
          <w:rPr>
            <w:rFonts w:ascii="Times New Roman" w:hAnsi="Times New Roman" w:cs="Times New Roman"/>
            <w:noProof/>
            <w:webHidden/>
            <w:sz w:val="24"/>
            <w:szCs w:val="24"/>
          </w:rPr>
          <w:fldChar w:fldCharType="end"/>
        </w:r>
      </w:hyperlink>
    </w:p>
    <w:p w14:paraId="05FCA30C" w14:textId="43836C99" w:rsidR="00617FAC" w:rsidRPr="00617FAC" w:rsidRDefault="00617FAC">
      <w:pPr>
        <w:pStyle w:val="TJ1"/>
        <w:tabs>
          <w:tab w:val="left" w:pos="960"/>
          <w:tab w:val="right" w:leader="dot" w:pos="9060"/>
        </w:tabs>
        <w:rPr>
          <w:rFonts w:ascii="Times New Roman" w:eastAsiaTheme="minorEastAsia" w:hAnsi="Times New Roman" w:cs="Times New Roman"/>
          <w:b w:val="0"/>
          <w:bCs w:val="0"/>
          <w:caps w:val="0"/>
          <w:noProof/>
          <w:sz w:val="24"/>
          <w:szCs w:val="24"/>
          <w:lang w:eastAsia="hu-HU"/>
        </w:rPr>
      </w:pPr>
      <w:hyperlink w:anchor="_Toc212910393" w:history="1">
        <w:r w:rsidRPr="00617FAC">
          <w:rPr>
            <w:rStyle w:val="Hiperhivatkozs"/>
            <w:rFonts w:ascii="Times New Roman" w:hAnsi="Times New Roman" w:cs="Times New Roman"/>
            <w:noProof/>
            <w:sz w:val="24"/>
            <w:szCs w:val="24"/>
          </w:rPr>
          <w:t>6.</w:t>
        </w:r>
        <w:r w:rsidRPr="00617FAC">
          <w:rPr>
            <w:rFonts w:ascii="Times New Roman" w:eastAsiaTheme="minorEastAsia" w:hAnsi="Times New Roman" w:cs="Times New Roman"/>
            <w:b w:val="0"/>
            <w:bCs w:val="0"/>
            <w:caps w:val="0"/>
            <w:noProof/>
            <w:sz w:val="24"/>
            <w:szCs w:val="24"/>
            <w:lang w:eastAsia="hu-HU"/>
          </w:rPr>
          <w:tab/>
        </w:r>
        <w:r w:rsidRPr="00617FAC">
          <w:rPr>
            <w:rStyle w:val="Hiperhivatkozs"/>
            <w:rFonts w:ascii="Times New Roman" w:hAnsi="Times New Roman" w:cs="Times New Roman"/>
            <w:noProof/>
            <w:sz w:val="24"/>
            <w:szCs w:val="24"/>
          </w:rPr>
          <w:t>Szakpolitikai és etikai következmények</w:t>
        </w:r>
        <w:r w:rsidRPr="00617FAC">
          <w:rPr>
            <w:rFonts w:ascii="Times New Roman" w:hAnsi="Times New Roman" w:cs="Times New Roman"/>
            <w:noProof/>
            <w:webHidden/>
            <w:sz w:val="24"/>
            <w:szCs w:val="24"/>
          </w:rPr>
          <w:tab/>
        </w:r>
        <w:r w:rsidRPr="00617FAC">
          <w:rPr>
            <w:rFonts w:ascii="Times New Roman" w:hAnsi="Times New Roman" w:cs="Times New Roman"/>
            <w:noProof/>
            <w:webHidden/>
            <w:sz w:val="24"/>
            <w:szCs w:val="24"/>
          </w:rPr>
          <w:fldChar w:fldCharType="begin"/>
        </w:r>
        <w:r w:rsidRPr="00617FAC">
          <w:rPr>
            <w:rFonts w:ascii="Times New Roman" w:hAnsi="Times New Roman" w:cs="Times New Roman"/>
            <w:noProof/>
            <w:webHidden/>
            <w:sz w:val="24"/>
            <w:szCs w:val="24"/>
          </w:rPr>
          <w:instrText xml:space="preserve"> PAGEREF _Toc212910393 \h </w:instrText>
        </w:r>
        <w:r w:rsidRPr="00617FAC">
          <w:rPr>
            <w:rFonts w:ascii="Times New Roman" w:hAnsi="Times New Roman" w:cs="Times New Roman"/>
            <w:noProof/>
            <w:webHidden/>
            <w:sz w:val="24"/>
            <w:szCs w:val="24"/>
          </w:rPr>
        </w:r>
        <w:r w:rsidRPr="00617FAC">
          <w:rPr>
            <w:rFonts w:ascii="Times New Roman" w:hAnsi="Times New Roman" w:cs="Times New Roman"/>
            <w:noProof/>
            <w:webHidden/>
            <w:sz w:val="24"/>
            <w:szCs w:val="24"/>
          </w:rPr>
          <w:fldChar w:fldCharType="separate"/>
        </w:r>
        <w:r w:rsidRPr="00617FAC">
          <w:rPr>
            <w:rFonts w:ascii="Times New Roman" w:hAnsi="Times New Roman" w:cs="Times New Roman"/>
            <w:noProof/>
            <w:webHidden/>
            <w:sz w:val="24"/>
            <w:szCs w:val="24"/>
          </w:rPr>
          <w:t>16</w:t>
        </w:r>
        <w:r w:rsidRPr="00617FAC">
          <w:rPr>
            <w:rFonts w:ascii="Times New Roman" w:hAnsi="Times New Roman" w:cs="Times New Roman"/>
            <w:noProof/>
            <w:webHidden/>
            <w:sz w:val="24"/>
            <w:szCs w:val="24"/>
          </w:rPr>
          <w:fldChar w:fldCharType="end"/>
        </w:r>
      </w:hyperlink>
    </w:p>
    <w:p w14:paraId="4807B8EF" w14:textId="658081A9" w:rsidR="00617FAC" w:rsidRPr="00617FAC" w:rsidRDefault="00617FAC" w:rsidP="00617FAC">
      <w:pPr>
        <w:pStyle w:val="TJ1"/>
        <w:tabs>
          <w:tab w:val="left" w:pos="960"/>
          <w:tab w:val="right" w:leader="dot" w:pos="9060"/>
        </w:tabs>
        <w:ind w:left="709" w:hanging="369"/>
        <w:rPr>
          <w:rFonts w:ascii="Times New Roman" w:eastAsiaTheme="minorEastAsia" w:hAnsi="Times New Roman" w:cs="Times New Roman"/>
          <w:b w:val="0"/>
          <w:bCs w:val="0"/>
          <w:caps w:val="0"/>
          <w:noProof/>
          <w:sz w:val="24"/>
          <w:szCs w:val="24"/>
          <w:lang w:eastAsia="hu-HU"/>
        </w:rPr>
      </w:pPr>
      <w:hyperlink w:anchor="_Toc212910394" w:history="1">
        <w:r w:rsidRPr="00617FAC">
          <w:rPr>
            <w:rStyle w:val="Hiperhivatkozs"/>
            <w:rFonts w:ascii="Times New Roman" w:hAnsi="Times New Roman" w:cs="Times New Roman"/>
            <w:noProof/>
            <w:sz w:val="24"/>
            <w:szCs w:val="24"/>
          </w:rPr>
          <w:t>7.</w:t>
        </w:r>
        <w:r w:rsidRPr="00617FAC">
          <w:rPr>
            <w:rFonts w:ascii="Times New Roman" w:eastAsiaTheme="minorEastAsia" w:hAnsi="Times New Roman" w:cs="Times New Roman"/>
            <w:b w:val="0"/>
            <w:bCs w:val="0"/>
            <w:caps w:val="0"/>
            <w:noProof/>
            <w:sz w:val="24"/>
            <w:szCs w:val="24"/>
            <w:lang w:eastAsia="hu-HU"/>
          </w:rPr>
          <w:tab/>
        </w:r>
        <w:r w:rsidRPr="00617FAC">
          <w:rPr>
            <w:rStyle w:val="Hiperhivatkozs"/>
            <w:rFonts w:ascii="Times New Roman" w:hAnsi="Times New Roman" w:cs="Times New Roman"/>
            <w:noProof/>
            <w:sz w:val="24"/>
            <w:szCs w:val="24"/>
          </w:rPr>
          <w:t>Következtetések, összefoglalás és jövőbeli kutatási irányok</w:t>
        </w:r>
        <w:r w:rsidRPr="00617FAC">
          <w:rPr>
            <w:rFonts w:ascii="Times New Roman" w:hAnsi="Times New Roman" w:cs="Times New Roman"/>
            <w:noProof/>
            <w:webHidden/>
            <w:sz w:val="24"/>
            <w:szCs w:val="24"/>
          </w:rPr>
          <w:tab/>
        </w:r>
        <w:r w:rsidRPr="00617FAC">
          <w:rPr>
            <w:rFonts w:ascii="Times New Roman" w:hAnsi="Times New Roman" w:cs="Times New Roman"/>
            <w:noProof/>
            <w:webHidden/>
            <w:sz w:val="24"/>
            <w:szCs w:val="24"/>
          </w:rPr>
          <w:fldChar w:fldCharType="begin"/>
        </w:r>
        <w:r w:rsidRPr="00617FAC">
          <w:rPr>
            <w:rFonts w:ascii="Times New Roman" w:hAnsi="Times New Roman" w:cs="Times New Roman"/>
            <w:noProof/>
            <w:webHidden/>
            <w:sz w:val="24"/>
            <w:szCs w:val="24"/>
          </w:rPr>
          <w:instrText xml:space="preserve"> PAGEREF _Toc212910394 \h </w:instrText>
        </w:r>
        <w:r w:rsidRPr="00617FAC">
          <w:rPr>
            <w:rFonts w:ascii="Times New Roman" w:hAnsi="Times New Roman" w:cs="Times New Roman"/>
            <w:noProof/>
            <w:webHidden/>
            <w:sz w:val="24"/>
            <w:szCs w:val="24"/>
          </w:rPr>
        </w:r>
        <w:r w:rsidRPr="00617FAC">
          <w:rPr>
            <w:rFonts w:ascii="Times New Roman" w:hAnsi="Times New Roman" w:cs="Times New Roman"/>
            <w:noProof/>
            <w:webHidden/>
            <w:sz w:val="24"/>
            <w:szCs w:val="24"/>
          </w:rPr>
          <w:fldChar w:fldCharType="separate"/>
        </w:r>
        <w:r w:rsidRPr="00617FAC">
          <w:rPr>
            <w:rFonts w:ascii="Times New Roman" w:hAnsi="Times New Roman" w:cs="Times New Roman"/>
            <w:noProof/>
            <w:webHidden/>
            <w:sz w:val="24"/>
            <w:szCs w:val="24"/>
          </w:rPr>
          <w:t>17</w:t>
        </w:r>
        <w:r w:rsidRPr="00617FAC">
          <w:rPr>
            <w:rFonts w:ascii="Times New Roman" w:hAnsi="Times New Roman" w:cs="Times New Roman"/>
            <w:noProof/>
            <w:webHidden/>
            <w:sz w:val="24"/>
            <w:szCs w:val="24"/>
          </w:rPr>
          <w:fldChar w:fldCharType="end"/>
        </w:r>
      </w:hyperlink>
    </w:p>
    <w:p w14:paraId="6B4E7DCA" w14:textId="75B58F95" w:rsidR="00617FAC" w:rsidRPr="00617FAC" w:rsidRDefault="00617FAC">
      <w:pPr>
        <w:pStyle w:val="TJ1"/>
        <w:tabs>
          <w:tab w:val="left" w:pos="960"/>
          <w:tab w:val="right" w:leader="dot" w:pos="9060"/>
        </w:tabs>
        <w:rPr>
          <w:rFonts w:ascii="Times New Roman" w:eastAsiaTheme="minorEastAsia" w:hAnsi="Times New Roman" w:cs="Times New Roman"/>
          <w:b w:val="0"/>
          <w:bCs w:val="0"/>
          <w:caps w:val="0"/>
          <w:noProof/>
          <w:sz w:val="24"/>
          <w:szCs w:val="24"/>
          <w:lang w:eastAsia="hu-HU"/>
        </w:rPr>
      </w:pPr>
      <w:hyperlink w:anchor="_Toc212910395" w:history="1">
        <w:r w:rsidRPr="00617FAC">
          <w:rPr>
            <w:rStyle w:val="Hiperhivatkozs"/>
            <w:rFonts w:ascii="Times New Roman" w:hAnsi="Times New Roman" w:cs="Times New Roman"/>
            <w:noProof/>
            <w:sz w:val="24"/>
            <w:szCs w:val="24"/>
          </w:rPr>
          <w:t>8.</w:t>
        </w:r>
        <w:r w:rsidRPr="00617FAC">
          <w:rPr>
            <w:rFonts w:ascii="Times New Roman" w:eastAsiaTheme="minorEastAsia" w:hAnsi="Times New Roman" w:cs="Times New Roman"/>
            <w:b w:val="0"/>
            <w:bCs w:val="0"/>
            <w:caps w:val="0"/>
            <w:noProof/>
            <w:sz w:val="24"/>
            <w:szCs w:val="24"/>
            <w:lang w:eastAsia="hu-HU"/>
          </w:rPr>
          <w:tab/>
        </w:r>
        <w:r w:rsidRPr="00617FAC">
          <w:rPr>
            <w:rStyle w:val="Hiperhivatkozs"/>
            <w:rFonts w:ascii="Times New Roman" w:hAnsi="Times New Roman" w:cs="Times New Roman"/>
            <w:noProof/>
            <w:sz w:val="24"/>
            <w:szCs w:val="24"/>
          </w:rPr>
          <w:t>Irodalomjegyzék</w:t>
        </w:r>
        <w:r w:rsidRPr="00617FAC">
          <w:rPr>
            <w:rFonts w:ascii="Times New Roman" w:hAnsi="Times New Roman" w:cs="Times New Roman"/>
            <w:noProof/>
            <w:webHidden/>
            <w:sz w:val="24"/>
            <w:szCs w:val="24"/>
          </w:rPr>
          <w:tab/>
        </w:r>
        <w:r w:rsidRPr="00617FAC">
          <w:rPr>
            <w:rFonts w:ascii="Times New Roman" w:hAnsi="Times New Roman" w:cs="Times New Roman"/>
            <w:noProof/>
            <w:webHidden/>
            <w:sz w:val="24"/>
            <w:szCs w:val="24"/>
          </w:rPr>
          <w:fldChar w:fldCharType="begin"/>
        </w:r>
        <w:r w:rsidRPr="00617FAC">
          <w:rPr>
            <w:rFonts w:ascii="Times New Roman" w:hAnsi="Times New Roman" w:cs="Times New Roman"/>
            <w:noProof/>
            <w:webHidden/>
            <w:sz w:val="24"/>
            <w:szCs w:val="24"/>
          </w:rPr>
          <w:instrText xml:space="preserve"> PAGEREF _Toc212910395 \h </w:instrText>
        </w:r>
        <w:r w:rsidRPr="00617FAC">
          <w:rPr>
            <w:rFonts w:ascii="Times New Roman" w:hAnsi="Times New Roman" w:cs="Times New Roman"/>
            <w:noProof/>
            <w:webHidden/>
            <w:sz w:val="24"/>
            <w:szCs w:val="24"/>
          </w:rPr>
        </w:r>
        <w:r w:rsidRPr="00617FAC">
          <w:rPr>
            <w:rFonts w:ascii="Times New Roman" w:hAnsi="Times New Roman" w:cs="Times New Roman"/>
            <w:noProof/>
            <w:webHidden/>
            <w:sz w:val="24"/>
            <w:szCs w:val="24"/>
          </w:rPr>
          <w:fldChar w:fldCharType="separate"/>
        </w:r>
        <w:r w:rsidRPr="00617FAC">
          <w:rPr>
            <w:rFonts w:ascii="Times New Roman" w:hAnsi="Times New Roman" w:cs="Times New Roman"/>
            <w:noProof/>
            <w:webHidden/>
            <w:sz w:val="24"/>
            <w:szCs w:val="24"/>
          </w:rPr>
          <w:t>19</w:t>
        </w:r>
        <w:r w:rsidRPr="00617FAC">
          <w:rPr>
            <w:rFonts w:ascii="Times New Roman" w:hAnsi="Times New Roman" w:cs="Times New Roman"/>
            <w:noProof/>
            <w:webHidden/>
            <w:sz w:val="24"/>
            <w:szCs w:val="24"/>
          </w:rPr>
          <w:fldChar w:fldCharType="end"/>
        </w:r>
      </w:hyperlink>
    </w:p>
    <w:p w14:paraId="5AA13B64" w14:textId="3D3CADD6" w:rsidR="001F65F0" w:rsidRPr="003E168A" w:rsidRDefault="001F65F0">
      <w:pPr>
        <w:spacing w:line="278" w:lineRule="auto"/>
        <w:ind w:firstLine="0"/>
        <w:jc w:val="left"/>
        <w:rPr>
          <w:rFonts w:eastAsiaTheme="majorEastAsia" w:cstheme="majorBidi"/>
          <w:b/>
          <w:sz w:val="32"/>
          <w:szCs w:val="40"/>
        </w:rPr>
      </w:pPr>
      <w:r w:rsidRPr="00617FAC">
        <w:rPr>
          <w:rFonts w:eastAsiaTheme="majorEastAsia" w:cs="Times New Roman"/>
          <w:b/>
        </w:rPr>
        <w:fldChar w:fldCharType="end"/>
      </w:r>
    </w:p>
    <w:p w14:paraId="24738F5A" w14:textId="77777777" w:rsidR="00421BEE" w:rsidRPr="003E168A" w:rsidRDefault="00421BEE">
      <w:pPr>
        <w:spacing w:line="278" w:lineRule="auto"/>
        <w:ind w:firstLine="0"/>
        <w:jc w:val="left"/>
        <w:rPr>
          <w:rFonts w:eastAsiaTheme="majorEastAsia" w:cstheme="majorBidi"/>
          <w:b/>
          <w:sz w:val="32"/>
          <w:szCs w:val="40"/>
        </w:rPr>
      </w:pPr>
      <w:r w:rsidRPr="003E168A">
        <w:br w:type="page"/>
      </w:r>
    </w:p>
    <w:p w14:paraId="07112EA6" w14:textId="78570F55" w:rsidR="00421BEE" w:rsidRPr="003E168A" w:rsidRDefault="00360A3B" w:rsidP="00E15FFF">
      <w:pPr>
        <w:pStyle w:val="EconomicaTitle1"/>
        <w:rPr>
          <w:lang w:val="hu-HU"/>
        </w:rPr>
      </w:pPr>
      <w:bookmarkStart w:id="0" w:name="_Toc212910373"/>
      <w:r w:rsidRPr="003E168A">
        <w:rPr>
          <w:lang w:val="hu-HU"/>
        </w:rPr>
        <w:lastRenderedPageBreak/>
        <w:t>Fogalomjegyzék</w:t>
      </w:r>
      <w:bookmarkEnd w:id="0"/>
    </w:p>
    <w:p w14:paraId="261BA8EB" w14:textId="77777777" w:rsidR="00E15FFF" w:rsidRPr="003E168A" w:rsidRDefault="00E15FFF" w:rsidP="00E15FFF"/>
    <w:p w14:paraId="1758C360" w14:textId="212D9680" w:rsidR="00421BEE" w:rsidRPr="003E168A" w:rsidRDefault="00DC0E20" w:rsidP="00DC0E20">
      <w:pPr>
        <w:ind w:firstLine="0"/>
      </w:pPr>
      <w:r w:rsidRPr="003E168A">
        <w:rPr>
          <w:b/>
          <w:bCs/>
        </w:rPr>
        <w:t>Szuperpozíció:</w:t>
      </w:r>
      <w:r w:rsidRPr="003E168A">
        <w:t xml:space="preserve"> </w:t>
      </w:r>
      <w:r w:rsidR="00D9767F" w:rsidRPr="00D9767F">
        <w:t>A kvantummechanikában a szuperpozíció azt jelenti, hogy egy rendszer</w:t>
      </w:r>
      <w:r w:rsidR="00D9767F">
        <w:t xml:space="preserve"> (esetünkben ország, régió, vagy város)</w:t>
      </w:r>
      <w:r w:rsidR="00D9767F" w:rsidRPr="00D9767F">
        <w:t xml:space="preserve"> állapota egyidejűleg több lehetséges állapot kombinációjaként írható le, amelyek közül a mérés során valószínűségi alapon</w:t>
      </w:r>
      <w:r w:rsidR="00D9767F">
        <w:t xml:space="preserve"> egy állapot</w:t>
      </w:r>
      <w:r w:rsidR="00D9767F" w:rsidRPr="00D9767F">
        <w:t xml:space="preserve"> realizálódik.</w:t>
      </w:r>
    </w:p>
    <w:p w14:paraId="756F5FDB" w14:textId="4AA5226D" w:rsidR="00DC0E20" w:rsidRPr="003E168A" w:rsidRDefault="00DC0E20" w:rsidP="00DC0E20">
      <w:pPr>
        <w:ind w:firstLine="0"/>
      </w:pPr>
      <w:proofErr w:type="spellStart"/>
      <w:r w:rsidRPr="003E168A">
        <w:rPr>
          <w:b/>
          <w:bCs/>
        </w:rPr>
        <w:t>Dekoherencia</w:t>
      </w:r>
      <w:proofErr w:type="spellEnd"/>
      <w:r w:rsidRPr="003E168A">
        <w:rPr>
          <w:b/>
          <w:bCs/>
        </w:rPr>
        <w:t>:</w:t>
      </w:r>
      <w:r w:rsidRPr="003E168A">
        <w:t xml:space="preserve"> A kvantummechanikában a </w:t>
      </w:r>
      <w:proofErr w:type="spellStart"/>
      <w:r w:rsidRPr="003E168A">
        <w:t>dekoherencia</w:t>
      </w:r>
      <w:proofErr w:type="spellEnd"/>
      <w:r w:rsidRPr="003E168A">
        <w:t xml:space="preserve"> azt jelenti, hogy egy koherens állapot külső zavarok hatására széthullik és különálló komponensekre esik szét. Társadalmi-gazdasági kontextusban ez azt jelenti, hogy a korábban egységes gazdasági állapotok válságok hatására felbomlanak.</w:t>
      </w:r>
    </w:p>
    <w:p w14:paraId="72A1A057" w14:textId="01F2F278" w:rsidR="00DC0E20" w:rsidRPr="003E168A" w:rsidRDefault="00DC0E20" w:rsidP="00DC0E20">
      <w:pPr>
        <w:ind w:firstLine="0"/>
      </w:pPr>
      <w:r w:rsidRPr="003E168A">
        <w:rPr>
          <w:b/>
          <w:bCs/>
        </w:rPr>
        <w:t>Bifurkáció:</w:t>
      </w:r>
      <w:r w:rsidRPr="003E168A">
        <w:t xml:space="preserve"> A komplex rendszerek bifurkációs pontjai olyan kritikus helyzetek, ahol kis változások hirtelen, nagy hatásokat válthatnak ki, és a rendszer új pályára áll. </w:t>
      </w:r>
      <w:proofErr w:type="spellStart"/>
      <w:r w:rsidRPr="003E168A">
        <w:t>Scheffer</w:t>
      </w:r>
      <w:proofErr w:type="spellEnd"/>
      <w:r w:rsidRPr="003E168A">
        <w:t xml:space="preserve"> (2009) és </w:t>
      </w:r>
      <w:proofErr w:type="spellStart"/>
      <w:r w:rsidRPr="003E168A">
        <w:t>Kuehn</w:t>
      </w:r>
      <w:proofErr w:type="spellEnd"/>
      <w:r w:rsidRPr="003E168A">
        <w:t xml:space="preserve"> (2011) kutatásai szerint a bifurkációk közelében a rendszer jellegzetes figyelmeztető jeleket mutat.</w:t>
      </w:r>
    </w:p>
    <w:p w14:paraId="000466EE" w14:textId="77777777" w:rsidR="00D9767F" w:rsidRDefault="00FC6938" w:rsidP="00DC0E20">
      <w:pPr>
        <w:ind w:firstLine="0"/>
      </w:pPr>
      <w:r w:rsidRPr="003E168A">
        <w:rPr>
          <w:b/>
          <w:bCs/>
        </w:rPr>
        <w:t>OAM:</w:t>
      </w:r>
      <w:r w:rsidRPr="003E168A">
        <w:t xml:space="preserve"> </w:t>
      </w:r>
      <w:r w:rsidR="00D9767F" w:rsidRPr="00D9767F">
        <w:t>Objektum-Attribútum Mátrix, ahol az objektumok az adatvagyon sorait, az attribútumok pedig az adatvagyon oszlopait adják.</w:t>
      </w:r>
    </w:p>
    <w:p w14:paraId="5BA100A6" w14:textId="6CD69AFA" w:rsidR="00DC0E20" w:rsidRDefault="00DC0E20" w:rsidP="00DC0E20">
      <w:pPr>
        <w:ind w:firstLine="0"/>
      </w:pPr>
      <w:r w:rsidRPr="003E168A">
        <w:rPr>
          <w:b/>
          <w:bCs/>
        </w:rPr>
        <w:t>COCO Y0:</w:t>
      </w:r>
      <w:r w:rsidRPr="003E168A">
        <w:t xml:space="preserve"> </w:t>
      </w:r>
      <w:r w:rsidR="006C6F34">
        <w:t>E</w:t>
      </w:r>
      <w:r w:rsidR="00CE5BA4" w:rsidRPr="003E168A">
        <w:t xml:space="preserve">gy </w:t>
      </w:r>
      <w:proofErr w:type="spellStart"/>
      <w:r w:rsidR="00CE5BA4" w:rsidRPr="003E168A">
        <w:t>antidiszkriminatív</w:t>
      </w:r>
      <w:proofErr w:type="spellEnd"/>
      <w:r w:rsidR="00CE5BA4" w:rsidRPr="003E168A">
        <w:t xml:space="preserve">, mesterséges intelligencia alapú módszer, amely egy monoton Y-vektort szimulál. Az eljárás lényege, hogy az Objektum-Attribútum-Mátrix (OAM) struktúrában képes objektív módon aggregálni a többdimenziós adatokat, azonosítani </w:t>
      </w:r>
      <w:proofErr w:type="spellStart"/>
      <w:r w:rsidR="00CE5BA4" w:rsidRPr="003E168A">
        <w:t>statisztikailag</w:t>
      </w:r>
      <w:proofErr w:type="spellEnd"/>
      <w:r w:rsidR="00CE5BA4" w:rsidRPr="003E168A">
        <w:t xml:space="preserve"> szignifikáns </w:t>
      </w:r>
      <w:proofErr w:type="spellStart"/>
      <w:r w:rsidR="00CE5BA4" w:rsidRPr="003E168A">
        <w:t>mintázatokat</w:t>
      </w:r>
      <w:proofErr w:type="spellEnd"/>
      <w:r w:rsidR="00CE5BA4" w:rsidRPr="003E168A">
        <w:t xml:space="preserve"> és homogenitást mérni anélkül, hogy előzetes feltételezéseket igényelne a homogenitás szerkezetéről.</w:t>
      </w:r>
    </w:p>
    <w:p w14:paraId="5DEE73F5" w14:textId="163BB1C0" w:rsidR="00617FAC" w:rsidRDefault="00617FAC" w:rsidP="00DC0E20">
      <w:pPr>
        <w:ind w:firstLine="0"/>
      </w:pPr>
    </w:p>
    <w:p w14:paraId="0B1EC8ED" w14:textId="77777777" w:rsidR="00617FAC" w:rsidRDefault="00617FAC">
      <w:pPr>
        <w:spacing w:after="160" w:line="278" w:lineRule="auto"/>
        <w:ind w:firstLine="0"/>
        <w:jc w:val="left"/>
      </w:pPr>
      <w:r>
        <w:br w:type="page"/>
      </w:r>
    </w:p>
    <w:p w14:paraId="738D7E85" w14:textId="5EB3836C" w:rsidR="00617FAC" w:rsidRDefault="00617FAC" w:rsidP="00617FAC">
      <w:pPr>
        <w:pStyle w:val="EconomicaTitle1"/>
        <w:rPr>
          <w:lang w:val="hu-HU"/>
        </w:rPr>
      </w:pPr>
      <w:bookmarkStart w:id="1" w:name="_Toc212910374"/>
      <w:r w:rsidRPr="00617FAC">
        <w:rPr>
          <w:lang w:val="hu-HU"/>
        </w:rPr>
        <w:lastRenderedPageBreak/>
        <w:t>Ábrajegyzék</w:t>
      </w:r>
      <w:bookmarkEnd w:id="1"/>
    </w:p>
    <w:p w14:paraId="3BFFDECD" w14:textId="77777777" w:rsidR="00617FAC" w:rsidRPr="00617FAC" w:rsidRDefault="00617FAC" w:rsidP="00617FAC"/>
    <w:p w14:paraId="23556DE9" w14:textId="71918E7D" w:rsidR="00617FAC" w:rsidRDefault="00617FAC">
      <w:pPr>
        <w:pStyle w:val="brajegyzk"/>
        <w:tabs>
          <w:tab w:val="right" w:leader="dot" w:pos="9060"/>
        </w:tabs>
        <w:rPr>
          <w:rFonts w:asciiTheme="minorHAnsi" w:eastAsiaTheme="minorEastAsia" w:hAnsiTheme="minorHAnsi"/>
          <w:noProof/>
          <w:lang w:eastAsia="hu-HU"/>
        </w:rPr>
      </w:pPr>
      <w:r>
        <w:fldChar w:fldCharType="begin"/>
      </w:r>
      <w:r>
        <w:instrText xml:space="preserve"> TOC \h \z \c "ábra" </w:instrText>
      </w:r>
      <w:r>
        <w:fldChar w:fldCharType="separate"/>
      </w:r>
      <w:hyperlink w:anchor="_Toc212910263" w:history="1">
        <w:r w:rsidRPr="00C55411">
          <w:rPr>
            <w:rStyle w:val="Hiperhivatkozs"/>
            <w:noProof/>
          </w:rPr>
          <w:t>1. ábra: Az Európai Homogenitás indexek átlaga, Forrás: Váradi Dániel, Az EU monitoring rendszerének</w:t>
        </w:r>
        <w:r>
          <w:rPr>
            <w:noProof/>
            <w:webHidden/>
          </w:rPr>
          <w:tab/>
        </w:r>
        <w:r>
          <w:rPr>
            <w:noProof/>
            <w:webHidden/>
          </w:rPr>
          <w:fldChar w:fldCharType="begin"/>
        </w:r>
        <w:r>
          <w:rPr>
            <w:noProof/>
            <w:webHidden/>
          </w:rPr>
          <w:instrText xml:space="preserve"> PAGEREF _Toc212910263 \h </w:instrText>
        </w:r>
        <w:r>
          <w:rPr>
            <w:noProof/>
            <w:webHidden/>
          </w:rPr>
        </w:r>
        <w:r>
          <w:rPr>
            <w:noProof/>
            <w:webHidden/>
          </w:rPr>
          <w:fldChar w:fldCharType="separate"/>
        </w:r>
        <w:r>
          <w:rPr>
            <w:noProof/>
            <w:webHidden/>
          </w:rPr>
          <w:t>8</w:t>
        </w:r>
        <w:r>
          <w:rPr>
            <w:noProof/>
            <w:webHidden/>
          </w:rPr>
          <w:fldChar w:fldCharType="end"/>
        </w:r>
      </w:hyperlink>
    </w:p>
    <w:p w14:paraId="1F6648A8" w14:textId="3E5F37C0" w:rsidR="00617FAC" w:rsidRDefault="00617FAC">
      <w:pPr>
        <w:pStyle w:val="brajegyzk"/>
        <w:tabs>
          <w:tab w:val="right" w:leader="dot" w:pos="9060"/>
        </w:tabs>
        <w:rPr>
          <w:rFonts w:asciiTheme="minorHAnsi" w:eastAsiaTheme="minorEastAsia" w:hAnsiTheme="minorHAnsi"/>
          <w:noProof/>
          <w:lang w:eastAsia="hu-HU"/>
        </w:rPr>
      </w:pPr>
      <w:hyperlink w:anchor="_Toc212910264" w:history="1">
        <w:r w:rsidRPr="00C55411">
          <w:rPr>
            <w:rStyle w:val="Hiperhivatkozs"/>
            <w:noProof/>
          </w:rPr>
          <w:t>2. ábra: Organikus fejlődéssel és vákuum hatással jellemezhető területek Budapest és az agglomeráció tekintetében, Forrás: Váradi Dániel, MSc. Szakdolgozat, Mértékegység: dimenzió nélküli indexszám</w:t>
        </w:r>
        <w:r>
          <w:rPr>
            <w:noProof/>
            <w:webHidden/>
          </w:rPr>
          <w:tab/>
        </w:r>
        <w:r>
          <w:rPr>
            <w:noProof/>
            <w:webHidden/>
          </w:rPr>
          <w:fldChar w:fldCharType="begin"/>
        </w:r>
        <w:r>
          <w:rPr>
            <w:noProof/>
            <w:webHidden/>
          </w:rPr>
          <w:instrText xml:space="preserve"> PAGEREF _Toc212910264 \h </w:instrText>
        </w:r>
        <w:r>
          <w:rPr>
            <w:noProof/>
            <w:webHidden/>
          </w:rPr>
        </w:r>
        <w:r>
          <w:rPr>
            <w:noProof/>
            <w:webHidden/>
          </w:rPr>
          <w:fldChar w:fldCharType="separate"/>
        </w:r>
        <w:r>
          <w:rPr>
            <w:noProof/>
            <w:webHidden/>
          </w:rPr>
          <w:t>9</w:t>
        </w:r>
        <w:r>
          <w:rPr>
            <w:noProof/>
            <w:webHidden/>
          </w:rPr>
          <w:fldChar w:fldCharType="end"/>
        </w:r>
      </w:hyperlink>
    </w:p>
    <w:p w14:paraId="56895D14" w14:textId="31FE13AC" w:rsidR="00421BEE" w:rsidRPr="003E168A" w:rsidRDefault="00617FAC">
      <w:pPr>
        <w:spacing w:line="278" w:lineRule="auto"/>
        <w:ind w:firstLine="0"/>
        <w:jc w:val="left"/>
      </w:pPr>
      <w:r>
        <w:fldChar w:fldCharType="end"/>
      </w:r>
    </w:p>
    <w:p w14:paraId="78BCECDE" w14:textId="434C05DA" w:rsidR="00421BEE" w:rsidRPr="003E168A" w:rsidRDefault="00421BEE">
      <w:pPr>
        <w:spacing w:line="278" w:lineRule="auto"/>
        <w:ind w:firstLine="0"/>
        <w:jc w:val="left"/>
        <w:rPr>
          <w:rFonts w:eastAsiaTheme="majorEastAsia" w:cstheme="majorBidi"/>
          <w:b/>
          <w:sz w:val="32"/>
          <w:szCs w:val="40"/>
        </w:rPr>
      </w:pPr>
      <w:r w:rsidRPr="003E168A">
        <w:br w:type="page"/>
      </w:r>
    </w:p>
    <w:p w14:paraId="1837E5D2" w14:textId="77777777" w:rsidR="00A40917" w:rsidRPr="003E168A" w:rsidRDefault="00A40917" w:rsidP="00A40917">
      <w:pPr>
        <w:pStyle w:val="fejezet1"/>
        <w:rPr>
          <w:lang w:val="hu-HU"/>
        </w:rPr>
      </w:pPr>
      <w:bookmarkStart w:id="2" w:name="_Toc212910375"/>
      <w:r w:rsidRPr="003E168A">
        <w:rPr>
          <w:lang w:val="hu-HU"/>
        </w:rPr>
        <w:lastRenderedPageBreak/>
        <w:t>Bevezetés</w:t>
      </w:r>
      <w:bookmarkEnd w:id="2"/>
    </w:p>
    <w:p w14:paraId="41322951" w14:textId="713E2541" w:rsidR="00C55FDA" w:rsidRDefault="00C55FDA" w:rsidP="00CE0D1C">
      <w:r w:rsidRPr="003E168A">
        <w:t>Az elmúlt évtized válságai új kérdéseket vetettek fel a társadalmi egyenlőtlenségek vizsgálatában. A</w:t>
      </w:r>
      <w:r w:rsidR="004E11B5">
        <w:t xml:space="preserve">z elmúlt évtizedek válságai nem csak </w:t>
      </w:r>
      <w:r w:rsidR="00FF32EA">
        <w:t>gazdasági</w:t>
      </w:r>
      <w:r w:rsidRPr="003E168A">
        <w:t xml:space="preserve"> sokkokat okoz</w:t>
      </w:r>
      <w:r w:rsidR="00866383">
        <w:t>tak</w:t>
      </w:r>
      <w:r w:rsidRPr="003E168A">
        <w:t>, hanem rámutat</w:t>
      </w:r>
      <w:r w:rsidR="00FF32EA">
        <w:t>tak</w:t>
      </w:r>
      <w:r w:rsidRPr="003E168A">
        <w:t xml:space="preserve"> arra is, hogy az eddig megszokott közgazdasági modellek</w:t>
      </w:r>
      <w:r w:rsidR="004E11B5">
        <w:t xml:space="preserve"> csak</w:t>
      </w:r>
      <w:r w:rsidRPr="003E168A">
        <w:t xml:space="preserve"> korlátozottan képesek </w:t>
      </w:r>
      <w:proofErr w:type="spellStart"/>
      <w:r w:rsidRPr="003E168A">
        <w:t>előrejelezni</w:t>
      </w:r>
      <w:proofErr w:type="spellEnd"/>
      <w:r w:rsidRPr="003E168A">
        <w:t xml:space="preserve"> és magyarázni a </w:t>
      </w:r>
      <w:r w:rsidR="00830997">
        <w:t>gazdasági</w:t>
      </w:r>
      <w:r w:rsidRPr="003E168A">
        <w:t xml:space="preserve"> dinamikákat</w:t>
      </w:r>
      <w:r w:rsidR="004E11B5">
        <w:t>.</w:t>
      </w:r>
    </w:p>
    <w:p w14:paraId="629DA3F5" w14:textId="2A24B511" w:rsidR="0054235C" w:rsidRDefault="004E11B5" w:rsidP="00CE0D1C">
      <w:r>
        <w:t xml:space="preserve">A fentiekre egy különösen jó példa a 2022-ben kialakult energiapiaci krízis, melynek hatására az európai unió tagállamai között példátlan mértékű – akár tíz százalékpontnyi –  inflációsráta eltérések alakultak ki. </w:t>
      </w:r>
      <w:r w:rsidR="001C1AF6">
        <w:t xml:space="preserve">Így már önmagában megkérdőjelezhető az az </w:t>
      </w:r>
      <w:r>
        <w:t>EU által szorgalmazott feltevést, hogy az egységes monetáris politika</w:t>
      </w:r>
      <w:r w:rsidR="001C1AF6">
        <w:t xml:space="preserve"> egységes, homogenizáló gazdasági pályákat eredményez a tagállamok közt</w:t>
      </w:r>
      <w:r w:rsidR="00C55FDA" w:rsidRPr="003E168A">
        <w:t xml:space="preserve"> (ECB, 2024b; European </w:t>
      </w:r>
      <w:proofErr w:type="spellStart"/>
      <w:r w:rsidR="00C55FDA" w:rsidRPr="003E168A">
        <w:t>Parliament</w:t>
      </w:r>
      <w:proofErr w:type="spellEnd"/>
      <w:r w:rsidR="00C55FDA" w:rsidRPr="003E168A">
        <w:t>, 2022; IMF, 2023).</w:t>
      </w:r>
      <w:r w:rsidR="00CF17AF">
        <w:t xml:space="preserve"> Ez alapján elmondható tehát, hogy eddig alkalmazott hagyományos, egyensúly-központú gazdasági előre jelző rendszerek nem kezelik kellő hatékonysággal a gazdasági sokkhelyzetek során fellépő nemlineáris gazdasági és társadalmi folyamatokat. Ezzel a kérdéskörrel már számos neves közgazdász is foglalkozott. </w:t>
      </w:r>
      <w:proofErr w:type="spellStart"/>
      <w:r w:rsidR="00C55FDA" w:rsidRPr="003E168A">
        <w:t>Atkinson</w:t>
      </w:r>
      <w:proofErr w:type="spellEnd"/>
      <w:r w:rsidR="00C55FDA" w:rsidRPr="003E168A">
        <w:t xml:space="preserve"> és </w:t>
      </w:r>
      <w:proofErr w:type="spellStart"/>
      <w:r w:rsidR="00C55FDA" w:rsidRPr="003E168A">
        <w:t>Morelli</w:t>
      </w:r>
      <w:proofErr w:type="spellEnd"/>
      <w:r w:rsidR="00C55FDA" w:rsidRPr="003E168A">
        <w:t xml:space="preserve"> </w:t>
      </w:r>
      <w:r w:rsidR="00631E4D" w:rsidRPr="003E168A">
        <w:t>kutatásai</w:t>
      </w:r>
      <w:r w:rsidR="00CF17AF">
        <w:t xml:space="preserve"> például </w:t>
      </w:r>
      <w:r w:rsidR="00C55FDA" w:rsidRPr="003E168A">
        <w:t>rámutattak</w:t>
      </w:r>
      <w:r w:rsidR="00631E4D" w:rsidRPr="003E168A">
        <w:t xml:space="preserve"> arra, hogy</w:t>
      </w:r>
      <w:r w:rsidR="00C55FDA" w:rsidRPr="003E168A">
        <w:t xml:space="preserve"> a szokásos egyenlőtlenségi mutatók nem mindig </w:t>
      </w:r>
      <w:r w:rsidR="00631E4D" w:rsidRPr="003E168A">
        <w:t>mutatják</w:t>
      </w:r>
      <w:r w:rsidR="00C55FDA" w:rsidRPr="003E168A">
        <w:t xml:space="preserve"> meg a </w:t>
      </w:r>
      <w:r w:rsidR="00631E4D" w:rsidRPr="003E168A">
        <w:t>rejtett</w:t>
      </w:r>
      <w:r w:rsidR="00C55FDA" w:rsidRPr="003E168A">
        <w:t xml:space="preserve"> mechanizmusokat, míg </w:t>
      </w:r>
      <w:proofErr w:type="spellStart"/>
      <w:r w:rsidR="00C55FDA" w:rsidRPr="003E168A">
        <w:t>Milanovic</w:t>
      </w:r>
      <w:proofErr w:type="spellEnd"/>
      <w:r w:rsidR="00C55FDA" w:rsidRPr="003E168A">
        <w:t xml:space="preserve"> történeti áttekintése szerint a konvergencia–divergencia váltakozása jóval összetettebb</w:t>
      </w:r>
      <w:r w:rsidR="00631E4D" w:rsidRPr="003E168A">
        <w:t>ek</w:t>
      </w:r>
      <w:r w:rsidR="00C55FDA" w:rsidRPr="003E168A">
        <w:t>, mint amit determinisztikus modellek feltételeznek (</w:t>
      </w:r>
      <w:proofErr w:type="spellStart"/>
      <w:r w:rsidR="00C55FDA" w:rsidRPr="003E168A">
        <w:t>Atkinson</w:t>
      </w:r>
      <w:proofErr w:type="spellEnd"/>
      <w:r w:rsidR="00C55FDA" w:rsidRPr="003E168A">
        <w:t xml:space="preserve"> &amp; </w:t>
      </w:r>
      <w:proofErr w:type="spellStart"/>
      <w:r w:rsidR="00C55FDA" w:rsidRPr="003E168A">
        <w:t>Morelli</w:t>
      </w:r>
      <w:proofErr w:type="spellEnd"/>
      <w:r w:rsidR="00C55FDA" w:rsidRPr="003E168A">
        <w:t xml:space="preserve">, 2014, 2015; </w:t>
      </w:r>
      <w:proofErr w:type="spellStart"/>
      <w:r w:rsidR="00C55FDA" w:rsidRPr="003E168A">
        <w:t>Milanovic</w:t>
      </w:r>
      <w:proofErr w:type="spellEnd"/>
      <w:r w:rsidR="00C55FDA" w:rsidRPr="003E168A">
        <w:t>, 2016).</w:t>
      </w:r>
      <w:r w:rsidR="0054235C">
        <w:t xml:space="preserve"> </w:t>
      </w:r>
      <w:r w:rsidR="00423C56">
        <w:t>Emiatt</w:t>
      </w:r>
      <w:r w:rsidR="00191460" w:rsidRPr="003E168A">
        <w:t xml:space="preserve"> a</w:t>
      </w:r>
      <w:r w:rsidR="006C29A9">
        <w:t>z alternatív</w:t>
      </w:r>
      <w:r w:rsidR="00191460" w:rsidRPr="003E168A">
        <w:t>-közgazdaságtan képviselői más szemléletet javasolnak. Szerintük a gazdaságot nem állandó egyensúlyi helyzetként kell elképzelni, hanem egy olya</w:t>
      </w:r>
      <w:r w:rsidR="00830997">
        <w:t>n</w:t>
      </w:r>
      <w:r w:rsidR="00191460" w:rsidRPr="003E168A">
        <w:t xml:space="preserve"> folyamatosan változó</w:t>
      </w:r>
      <w:r w:rsidR="00CF17AF">
        <w:t xml:space="preserve"> komplex</w:t>
      </w:r>
      <w:r w:rsidR="00191460" w:rsidRPr="003E168A">
        <w:t xml:space="preserve"> rendszerként, ahol a szereplők tanulnak</w:t>
      </w:r>
      <w:r w:rsidR="00830997">
        <w:t xml:space="preserve"> egymástól</w:t>
      </w:r>
      <w:r w:rsidR="00191460" w:rsidRPr="003E168A">
        <w:t xml:space="preserve"> és alkalmazkodnak egymáshoz.</w:t>
      </w:r>
      <w:r w:rsidR="00CF17AF">
        <w:t xml:space="preserve"> Feltételezéseik szerint az ilyen </w:t>
      </w:r>
      <w:r w:rsidR="00191460" w:rsidRPr="003E168A">
        <w:t>megközelítés</w:t>
      </w:r>
      <w:r w:rsidR="00CF17AF">
        <w:t>ek</w:t>
      </w:r>
      <w:r w:rsidR="00191460" w:rsidRPr="003E168A">
        <w:t xml:space="preserve"> </w:t>
      </w:r>
      <w:r w:rsidR="00CF17AF">
        <w:t>valósabb</w:t>
      </w:r>
      <w:r w:rsidR="00191460" w:rsidRPr="003E168A">
        <w:t xml:space="preserve"> képet adhat</w:t>
      </w:r>
      <w:r w:rsidR="00CF17AF">
        <w:t>nak</w:t>
      </w:r>
      <w:r w:rsidR="00191460" w:rsidRPr="003E168A">
        <w:t>, hagyományos modellek egyszerűsített feltevései</w:t>
      </w:r>
      <w:r w:rsidR="00830997">
        <w:t>vel szemben</w:t>
      </w:r>
      <w:r w:rsidR="00191460" w:rsidRPr="003E168A">
        <w:t xml:space="preserve"> (Arthur, 1999, 2021; Farmer &amp; </w:t>
      </w:r>
      <w:proofErr w:type="spellStart"/>
      <w:r w:rsidR="00191460" w:rsidRPr="003E168A">
        <w:t>Geanakoplos</w:t>
      </w:r>
      <w:proofErr w:type="spellEnd"/>
      <w:r w:rsidR="00191460" w:rsidRPr="003E168A">
        <w:t xml:space="preserve">, 2009; </w:t>
      </w:r>
      <w:proofErr w:type="spellStart"/>
      <w:r w:rsidR="00191460" w:rsidRPr="003E168A">
        <w:t>Rodrik</w:t>
      </w:r>
      <w:proofErr w:type="spellEnd"/>
      <w:r w:rsidR="00191460" w:rsidRPr="003E168A">
        <w:t>, 2015).</w:t>
      </w:r>
      <w:r w:rsidR="000C0685">
        <w:t xml:space="preserve"> </w:t>
      </w:r>
    </w:p>
    <w:p w14:paraId="43F968B3" w14:textId="697ED86E" w:rsidR="00191460" w:rsidRPr="003E168A" w:rsidRDefault="00830997" w:rsidP="00CE0D1C">
      <w:r>
        <w:t xml:space="preserve">Ha azonban </w:t>
      </w:r>
      <w:r w:rsidR="0054235C">
        <w:t>elhagyjuk a gazdasági modellek világát, és egy pillantást vetünk a technológia irányába, észrevehető</w:t>
      </w:r>
      <w:r w:rsidR="00423C56">
        <w:t xml:space="preserve">, hogy a modern technológiai eszközökben már alkalmazzák azokat a modellezési technikákat, melyek folyamatosan változó </w:t>
      </w:r>
      <w:r w:rsidR="00477EBB">
        <w:t>komplex</w:t>
      </w:r>
      <w:r w:rsidR="00423C56">
        <w:t xml:space="preserve"> rendszereket képesek modellezni.</w:t>
      </w:r>
      <w:r w:rsidR="00EE5624">
        <w:t xml:space="preserve"> </w:t>
      </w:r>
      <w:r w:rsidR="00EE5624" w:rsidRPr="00EE5624">
        <w:t xml:space="preserve">A QM </w:t>
      </w:r>
      <w:proofErr w:type="spellStart"/>
      <w:r w:rsidR="00EE5624" w:rsidRPr="00EE5624">
        <w:t>Ware</w:t>
      </w:r>
      <w:proofErr w:type="spellEnd"/>
      <w:r w:rsidR="00EE5624" w:rsidRPr="00EE5624">
        <w:t xml:space="preserve"> (2024) tanulmánya szerint a jövőbeli önvezető járművek fejlett irányítási rendszerei potenciálisan alkalmazhatnak kvantum-inspirált optimalizációs eljárásokat, amelyek lehetővé teszik több párhuzamos szcenárió </w:t>
      </w:r>
      <w:r w:rsidR="00EE5624">
        <w:t>egyidejű kezelését</w:t>
      </w:r>
      <w:r w:rsidR="00EE5624" w:rsidRPr="00EE5624">
        <w:t xml:space="preserve">. Habár ez jelenleg még kísérleti fázisban van, az </w:t>
      </w:r>
      <w:r w:rsidR="00EE5624">
        <w:t>módszertan</w:t>
      </w:r>
      <w:r w:rsidR="00EE5624" w:rsidRPr="00EE5624">
        <w:t xml:space="preserve"> – miszerint egy rendszer egyszerre több lehetséges állapotot </w:t>
      </w:r>
      <w:r w:rsidR="00EE5624">
        <w:t>elemez</w:t>
      </w:r>
      <w:r w:rsidR="00EE5624" w:rsidRPr="00EE5624">
        <w:t xml:space="preserve"> párhuzamosan – analógiaként szolgálhat a társadalmi-gazdasági homogenitás modellezéséhez is.</w:t>
      </w:r>
    </w:p>
    <w:p w14:paraId="2A1A99C5" w14:textId="6BBDD4F8" w:rsidR="00D9767F" w:rsidRDefault="00191460" w:rsidP="00D9767F">
      <w:r w:rsidRPr="003E168A">
        <w:lastRenderedPageBreak/>
        <w:t>Ebből a gondolatmenetből kiindulva született meg a kvantumfizikai analógiák alkalmazásának ötlete</w:t>
      </w:r>
      <w:r w:rsidR="000C0685">
        <w:t xml:space="preserve"> a társadalmi-gazdasági homogenitás modellezésében</w:t>
      </w:r>
      <w:r w:rsidRPr="003E168A">
        <w:t xml:space="preserve"> is. A kvantummechanika olyan matematikai eszközöket kínál, mint például a szuperpozíció, a </w:t>
      </w:r>
      <w:proofErr w:type="spellStart"/>
      <w:r w:rsidRPr="003E168A">
        <w:t>dekoherencia</w:t>
      </w:r>
      <w:proofErr w:type="spellEnd"/>
      <w:r w:rsidRPr="003E168A">
        <w:t xml:space="preserve"> és a bifurkáció, amelyek segíthetnek jobban leírni a társadalmi-gazdasági rendszerek összetett, valószínűségi természetét.</w:t>
      </w:r>
      <w:r w:rsidR="00656620">
        <w:t xml:space="preserve"> Az ötletet </w:t>
      </w:r>
      <w:proofErr w:type="spellStart"/>
      <w:r w:rsidR="00656620" w:rsidRPr="003E168A">
        <w:t>Haven</w:t>
      </w:r>
      <w:proofErr w:type="spellEnd"/>
      <w:r w:rsidR="00656620" w:rsidRPr="003E168A">
        <w:t xml:space="preserve">, </w:t>
      </w:r>
      <w:proofErr w:type="spellStart"/>
      <w:r w:rsidR="00656620" w:rsidRPr="003E168A">
        <w:t>Khrennikov</w:t>
      </w:r>
      <w:proofErr w:type="spellEnd"/>
      <w:r w:rsidR="00656620" w:rsidRPr="003E168A">
        <w:t xml:space="preserve">, </w:t>
      </w:r>
      <w:proofErr w:type="spellStart"/>
      <w:r w:rsidR="00656620" w:rsidRPr="003E168A">
        <w:t>Busemeyer</w:t>
      </w:r>
      <w:proofErr w:type="spellEnd"/>
      <w:r w:rsidR="00656620" w:rsidRPr="003E168A">
        <w:t xml:space="preserve">, </w:t>
      </w:r>
      <w:proofErr w:type="spellStart"/>
      <w:r w:rsidR="00656620" w:rsidRPr="003E168A">
        <w:t>Bruza</w:t>
      </w:r>
      <w:proofErr w:type="spellEnd"/>
      <w:r w:rsidR="00656620" w:rsidRPr="003E168A">
        <w:t xml:space="preserve"> és </w:t>
      </w:r>
      <w:proofErr w:type="spellStart"/>
      <w:r w:rsidR="00656620" w:rsidRPr="003E168A">
        <w:t>Orrell</w:t>
      </w:r>
      <w:proofErr w:type="spellEnd"/>
      <w:r w:rsidR="00656620" w:rsidRPr="003E168A">
        <w:t xml:space="preserve"> munkái</w:t>
      </w:r>
      <w:r w:rsidR="00656620">
        <w:t xml:space="preserve"> is alátámasztják, hiszen hosszasan értekeznek arról, hogy a </w:t>
      </w:r>
      <w:r w:rsidR="00656620" w:rsidRPr="003E168A">
        <w:t>kvantummechanika matematikai eszköztára sikeresen alkalmazható nem fizikai jelenségek vizsgálatára is (</w:t>
      </w:r>
      <w:proofErr w:type="spellStart"/>
      <w:r w:rsidR="00656620" w:rsidRPr="003E168A">
        <w:t>Scheffer</w:t>
      </w:r>
      <w:proofErr w:type="spellEnd"/>
      <w:r w:rsidR="00656620" w:rsidRPr="003E168A">
        <w:t xml:space="preserve">, 2009; </w:t>
      </w:r>
      <w:proofErr w:type="spellStart"/>
      <w:r w:rsidR="00656620" w:rsidRPr="003E168A">
        <w:t>Kuehn</w:t>
      </w:r>
      <w:proofErr w:type="spellEnd"/>
      <w:r w:rsidR="00656620" w:rsidRPr="003E168A">
        <w:t xml:space="preserve">, 2011; </w:t>
      </w:r>
      <w:proofErr w:type="spellStart"/>
      <w:r w:rsidR="00656620" w:rsidRPr="003E168A">
        <w:t>Haven</w:t>
      </w:r>
      <w:proofErr w:type="spellEnd"/>
      <w:r w:rsidR="00656620" w:rsidRPr="003E168A">
        <w:t xml:space="preserve"> &amp; </w:t>
      </w:r>
      <w:proofErr w:type="spellStart"/>
      <w:r w:rsidR="00656620" w:rsidRPr="003E168A">
        <w:t>Khrennikov</w:t>
      </w:r>
      <w:proofErr w:type="spellEnd"/>
      <w:r w:rsidR="00656620" w:rsidRPr="003E168A">
        <w:t xml:space="preserve">, 2013; </w:t>
      </w:r>
      <w:proofErr w:type="spellStart"/>
      <w:r w:rsidR="00656620" w:rsidRPr="003E168A">
        <w:t>Busemeyer</w:t>
      </w:r>
      <w:proofErr w:type="spellEnd"/>
      <w:r w:rsidR="00656620" w:rsidRPr="003E168A">
        <w:t xml:space="preserve"> &amp; </w:t>
      </w:r>
      <w:proofErr w:type="spellStart"/>
      <w:r w:rsidR="00656620" w:rsidRPr="003E168A">
        <w:t>Bruza</w:t>
      </w:r>
      <w:proofErr w:type="spellEnd"/>
      <w:r w:rsidR="00656620" w:rsidRPr="003E168A">
        <w:t xml:space="preserve">, 2012; </w:t>
      </w:r>
      <w:proofErr w:type="spellStart"/>
      <w:r w:rsidR="00656620" w:rsidRPr="003E168A">
        <w:t>Orrell</w:t>
      </w:r>
      <w:proofErr w:type="spellEnd"/>
      <w:r w:rsidR="00656620" w:rsidRPr="003E168A">
        <w:t>, 2018, 2024)</w:t>
      </w:r>
      <w:r w:rsidR="00656620">
        <w:t xml:space="preserve">, valamint </w:t>
      </w:r>
      <w:proofErr w:type="spellStart"/>
      <w:r w:rsidR="00656620">
        <w:t>Scheffer</w:t>
      </w:r>
      <w:proofErr w:type="spellEnd"/>
      <w:r w:rsidR="00656620">
        <w:t xml:space="preserve"> és munkatársai </w:t>
      </w:r>
      <w:r w:rsidR="00D9767F">
        <w:t xml:space="preserve">kutatásaik során be is bizonyították, hogy a kritikus átmenetek és a strukturális törések lényegében hasonló matematikai </w:t>
      </w:r>
      <w:proofErr w:type="spellStart"/>
      <w:r w:rsidR="00D9767F">
        <w:t>mintázatokat</w:t>
      </w:r>
      <w:proofErr w:type="spellEnd"/>
      <w:r w:rsidR="00D9767F">
        <w:t xml:space="preserve"> mutatnak eltérő komplex rendszerekben, legyen szó akár az ökológiai, az éghajlati vagy a társadalmi-gazdasági rendszerekről. </w:t>
      </w:r>
    </w:p>
    <w:p w14:paraId="15BDA863" w14:textId="15FCD8F7" w:rsidR="00A40917" w:rsidRPr="00656620" w:rsidRDefault="00A40917" w:rsidP="00656620">
      <w:pPr>
        <w:pStyle w:val="fejezet1"/>
        <w:rPr>
          <w:lang w:val="hu-HU"/>
        </w:rPr>
      </w:pPr>
      <w:bookmarkStart w:id="3" w:name="_Toc212910376"/>
      <w:r w:rsidRPr="00656620">
        <w:rPr>
          <w:lang w:val="hu-HU"/>
        </w:rPr>
        <w:t>A tanulmány célja és jelentősége</w:t>
      </w:r>
      <w:bookmarkEnd w:id="3"/>
    </w:p>
    <w:p w14:paraId="7CC971B6" w14:textId="77777777" w:rsidR="008C47B9" w:rsidRDefault="00A40917" w:rsidP="00CE0D1C">
      <w:r w:rsidRPr="003E168A">
        <w:t>Jelen tanulmány célja egy kvantumfizikai analógián alapuló, innovatív modellezési keretrendszer bemutatása, amely a társadalmi-gazdasági homogenitás dinamikáját eloszlás-alapú megközelítésben teszi vizsgálhatóvá. Az új homogenitás-index (</w:t>
      </w:r>
      <w:r w:rsidR="004772FD" w:rsidRPr="003E168A">
        <w:t xml:space="preserve">vö. </w:t>
      </w:r>
      <w:r w:rsidRPr="003E168A">
        <w:t>a klasszikus pontérték helyett valószínűségi eloszlás formájában) képes</w:t>
      </w:r>
      <w:r w:rsidR="004772FD" w:rsidRPr="003E168A">
        <w:t xml:space="preserve"> lehet</w:t>
      </w:r>
      <w:r w:rsidRPr="003E168A">
        <w:t xml:space="preserve"> több egyensúlyi állapot egyidejű figyelembevételére</w:t>
      </w:r>
      <w:r w:rsidR="001831A8" w:rsidRPr="003E168A">
        <w:t>, amely fontos lehet</w:t>
      </w:r>
      <w:r w:rsidRPr="003E168A">
        <w:t xml:space="preserve"> olyan bizonytalan vagy átmeneti</w:t>
      </w:r>
      <w:r w:rsidR="00730437" w:rsidRPr="003E168A">
        <w:t xml:space="preserve"> </w:t>
      </w:r>
      <w:r w:rsidR="001831A8" w:rsidRPr="003E168A">
        <w:t>g</w:t>
      </w:r>
      <w:r w:rsidR="00730437" w:rsidRPr="003E168A">
        <w:t>azdasági</w:t>
      </w:r>
      <w:r w:rsidRPr="003E168A">
        <w:t xml:space="preserve"> helyzetekben, ahol régiók vagy országcsoportok fejlődési pályája nem triviálisan meghatározható.</w:t>
      </w:r>
      <w:r w:rsidR="00656620">
        <w:t xml:space="preserve"> </w:t>
      </w:r>
      <w:r w:rsidR="008E364E" w:rsidRPr="003E168A">
        <w:t>Ezen kívül a</w:t>
      </w:r>
      <w:r w:rsidRPr="003E168A">
        <w:t xml:space="preserve"> kvantu</w:t>
      </w:r>
      <w:r w:rsidR="00656620">
        <w:t>m-analógiákon való modellezés</w:t>
      </w:r>
      <w:r w:rsidR="008E364E" w:rsidRPr="003E168A">
        <w:t xml:space="preserve"> lehetővé </w:t>
      </w:r>
      <w:r w:rsidR="00656620">
        <w:t>tenné</w:t>
      </w:r>
      <w:r w:rsidR="008E364E" w:rsidRPr="003E168A">
        <w:t xml:space="preserve"> a</w:t>
      </w:r>
      <w:r w:rsidRPr="003E168A">
        <w:t xml:space="preserve"> </w:t>
      </w:r>
      <w:proofErr w:type="spellStart"/>
      <w:r w:rsidRPr="003E168A">
        <w:t>dekoherencia</w:t>
      </w:r>
      <w:proofErr w:type="spellEnd"/>
      <w:r w:rsidRPr="003E168A">
        <w:t xml:space="preserve">-szimulációk </w:t>
      </w:r>
      <w:r w:rsidR="00656620">
        <w:t>felépítését és fejlesztését is</w:t>
      </w:r>
      <w:r w:rsidRPr="003E168A">
        <w:t>, amelye</w:t>
      </w:r>
      <w:r w:rsidR="008C47B9">
        <w:t xml:space="preserve">k </w:t>
      </w:r>
      <w:r w:rsidR="008E364E" w:rsidRPr="003E168A">
        <w:t>segítségével</w:t>
      </w:r>
      <w:r w:rsidRPr="003E168A">
        <w:t xml:space="preserve"> előre jelezhetővé </w:t>
      </w:r>
      <w:r w:rsidR="00656620">
        <w:t>válhatnak</w:t>
      </w:r>
      <w:r w:rsidRPr="003E168A">
        <w:t xml:space="preserve"> például a gazdasági válságok, </w:t>
      </w:r>
      <w:r w:rsidR="008C47B9">
        <w:t xml:space="preserve">a </w:t>
      </w:r>
      <w:r w:rsidRPr="003E168A">
        <w:t>politikai fordulatok vagy</w:t>
      </w:r>
      <w:r w:rsidR="008C47B9">
        <w:t xml:space="preserve"> a</w:t>
      </w:r>
      <w:r w:rsidRPr="003E168A">
        <w:t xml:space="preserve"> természeti katasztrófák</w:t>
      </w:r>
      <w:r w:rsidR="00656620">
        <w:t xml:space="preserve"> </w:t>
      </w:r>
      <w:r w:rsidRPr="003E168A">
        <w:t>hatásai</w:t>
      </w:r>
      <w:r w:rsidR="008C47B9">
        <w:t xml:space="preserve"> is</w:t>
      </w:r>
      <w:r w:rsidRPr="003E168A">
        <w:t>. Kiemelt cél</w:t>
      </w:r>
      <w:r w:rsidR="008E364E" w:rsidRPr="003E168A">
        <w:t xml:space="preserve"> továbbá</w:t>
      </w:r>
      <w:r w:rsidR="00DE26A4">
        <w:t xml:space="preserve"> </w:t>
      </w:r>
      <w:r w:rsidRPr="003E168A">
        <w:t>az automatizált bifurkáció-detektálási protokollok létrehozása</w:t>
      </w:r>
      <w:r w:rsidR="008E364E" w:rsidRPr="003E168A">
        <w:t xml:space="preserve"> </w:t>
      </w:r>
      <w:r w:rsidR="008C47B9">
        <w:t>a gazdaságban</w:t>
      </w:r>
      <w:r w:rsidRPr="003E168A">
        <w:t xml:space="preserve">, melyek a kritikus átmenetek azonosítását </w:t>
      </w:r>
      <w:r w:rsidR="008C47B9">
        <w:t>segítenék elő</w:t>
      </w:r>
      <w:r w:rsidRPr="003E168A">
        <w:t xml:space="preserve"> (</w:t>
      </w:r>
      <w:proofErr w:type="spellStart"/>
      <w:r w:rsidRPr="003E168A">
        <w:t>Scheffer</w:t>
      </w:r>
      <w:proofErr w:type="spellEnd"/>
      <w:r w:rsidRPr="003E168A">
        <w:t xml:space="preserve"> </w:t>
      </w:r>
      <w:proofErr w:type="spellStart"/>
      <w:r w:rsidRPr="003E168A">
        <w:t>et</w:t>
      </w:r>
      <w:proofErr w:type="spellEnd"/>
      <w:r w:rsidRPr="003E168A">
        <w:t xml:space="preserve"> </w:t>
      </w:r>
      <w:proofErr w:type="spellStart"/>
      <w:r w:rsidRPr="003E168A">
        <w:t>al</w:t>
      </w:r>
      <w:proofErr w:type="spellEnd"/>
      <w:r w:rsidRPr="003E168A">
        <w:t xml:space="preserve">., 2009; </w:t>
      </w:r>
      <w:proofErr w:type="spellStart"/>
      <w:r w:rsidRPr="003E168A">
        <w:t>Kuehn</w:t>
      </w:r>
      <w:proofErr w:type="spellEnd"/>
      <w:r w:rsidRPr="003E168A">
        <w:t xml:space="preserve">, 2011). </w:t>
      </w:r>
    </w:p>
    <w:p w14:paraId="46B3D617" w14:textId="1D766255" w:rsidR="00A40917" w:rsidRPr="003E168A" w:rsidRDefault="008C47B9" w:rsidP="00CE0D1C">
      <w:r>
        <w:t>A tanulmány</w:t>
      </w:r>
      <w:r w:rsidR="00A40917" w:rsidRPr="003E168A">
        <w:t xml:space="preserve"> gyakorlati célkitűzés</w:t>
      </w:r>
      <w:r w:rsidR="008E364E" w:rsidRPr="003E168A">
        <w:t xml:space="preserve"> pedig </w:t>
      </w:r>
      <w:r>
        <w:t xml:space="preserve">természetesen </w:t>
      </w:r>
      <w:r w:rsidR="008E364E" w:rsidRPr="003E168A">
        <w:t>nem más, mint</w:t>
      </w:r>
      <w:r w:rsidR="00A40917" w:rsidRPr="003E168A">
        <w:t xml:space="preserve"> egy tudományosan megalapozott, az Európai Unió kohéziós politikájában is alkalmazható elemző eszköz</w:t>
      </w:r>
      <w:r>
        <w:t>rendszer</w:t>
      </w:r>
      <w:r w:rsidR="00A40917" w:rsidRPr="003E168A">
        <w:t xml:space="preserve"> kialakítása, amely </w:t>
      </w:r>
      <w:r>
        <w:t xml:space="preserve">a jövőben </w:t>
      </w:r>
      <w:r w:rsidR="00A40917" w:rsidRPr="003E168A">
        <w:t>támogatja a forrásallokáció és az intervenciók hatékonyságát.</w:t>
      </w:r>
    </w:p>
    <w:p w14:paraId="4D875130" w14:textId="580C911F" w:rsidR="00A40917" w:rsidRPr="003E168A" w:rsidRDefault="00A40917" w:rsidP="00CE0D1C">
      <w:r w:rsidRPr="003E168A">
        <w:t>A kvantum-inspirált</w:t>
      </w:r>
      <w:r w:rsidR="008E364E" w:rsidRPr="003E168A">
        <w:t xml:space="preserve"> homogenitás-mérés </w:t>
      </w:r>
      <w:r w:rsidRPr="003E168A">
        <w:t>empirikus alapját korábbi</w:t>
      </w:r>
      <w:r w:rsidR="008E364E" w:rsidRPr="003E168A">
        <w:t>,</w:t>
      </w:r>
      <w:r w:rsidRPr="003E168A">
        <w:t xml:space="preserve"> </w:t>
      </w:r>
      <w:r w:rsidR="00DC0E20" w:rsidRPr="003E168A">
        <w:t>M</w:t>
      </w:r>
      <w:r w:rsidRPr="003E168A">
        <w:t>I-alapú homogenitáskutatás</w:t>
      </w:r>
      <w:r w:rsidR="001831A8" w:rsidRPr="003E168A">
        <w:t>aink</w:t>
      </w:r>
      <w:r w:rsidRPr="003E168A">
        <w:t xml:space="preserve"> képzik, amelyek három különböző </w:t>
      </w:r>
      <w:r w:rsidR="001831A8" w:rsidRPr="003E168A">
        <w:t>geográfiai (vö. térbeli)</w:t>
      </w:r>
      <w:r w:rsidR="008E364E" w:rsidRPr="003E168A">
        <w:t xml:space="preserve"> </w:t>
      </w:r>
      <w:r w:rsidRPr="003E168A">
        <w:t xml:space="preserve">vizsgálatot ölelnek fel: az Európai Unió tagállamainak gazdasági és társadalmi homogenitása (Váradi, 2023), Budapest és agglomerációjának kulturális kohéziója (Váradi, 2025), valamint a Mezőföld régió fenntarthatósági elemzése (Váradi </w:t>
      </w:r>
      <w:proofErr w:type="spellStart"/>
      <w:r w:rsidRPr="003E168A">
        <w:t>et</w:t>
      </w:r>
      <w:proofErr w:type="spellEnd"/>
      <w:r w:rsidRPr="003E168A">
        <w:t xml:space="preserve"> </w:t>
      </w:r>
      <w:proofErr w:type="spellStart"/>
      <w:r w:rsidRPr="003E168A">
        <w:t>al</w:t>
      </w:r>
      <w:proofErr w:type="spellEnd"/>
      <w:r w:rsidRPr="003E168A">
        <w:t xml:space="preserve">., 2024). Ezek az </w:t>
      </w:r>
      <w:r w:rsidR="001831A8" w:rsidRPr="003E168A">
        <w:t>MI</w:t>
      </w:r>
      <w:r w:rsidRPr="003E168A">
        <w:t xml:space="preserve">-alapú vizsgálatok </w:t>
      </w:r>
      <w:r w:rsidR="008C47B9">
        <w:lastRenderedPageBreak/>
        <w:t xml:space="preserve">azért nyújtanak </w:t>
      </w:r>
      <w:r w:rsidRPr="003E168A">
        <w:t xml:space="preserve">kiváló </w:t>
      </w:r>
      <w:r w:rsidR="001831A8" w:rsidRPr="003E168A">
        <w:t>kiindulópontot</w:t>
      </w:r>
      <w:r w:rsidRPr="003E168A">
        <w:t xml:space="preserve"> a kvantum-inspirált modellek fejlesztéséhez, </w:t>
      </w:r>
      <w:r w:rsidR="008C47B9">
        <w:t>mert</w:t>
      </w:r>
      <w:r w:rsidR="001831A8" w:rsidRPr="003E168A">
        <w:t xml:space="preserve"> </w:t>
      </w:r>
      <w:r w:rsidR="009C5196">
        <w:t>megerősítették</w:t>
      </w:r>
      <w:r w:rsidRPr="003E168A">
        <w:t xml:space="preserve">, hogy az automatizált, objektív homogenitásmérés gyakorlatilag megvalósítható és </w:t>
      </w:r>
      <w:r w:rsidR="008E364E" w:rsidRPr="003E168A">
        <w:t xml:space="preserve">hasznos lehet </w:t>
      </w:r>
      <w:r w:rsidRPr="003E168A">
        <w:t>a társadalmi-gazdasági folyamatok megértésében</w:t>
      </w:r>
      <w:r w:rsidR="008E364E" w:rsidRPr="003E168A">
        <w:t xml:space="preserve"> is</w:t>
      </w:r>
      <w:r w:rsidRPr="003E168A">
        <w:t xml:space="preserve">. </w:t>
      </w:r>
      <w:r w:rsidR="008C47B9">
        <w:t xml:space="preserve">Az imént említett három kutatás eredményeit részletesen bemutatom a következő (3.) fejezetben. </w:t>
      </w:r>
    </w:p>
    <w:p w14:paraId="750F275D" w14:textId="16A34A66" w:rsidR="001F65F0" w:rsidRPr="003E168A" w:rsidRDefault="001F65F0" w:rsidP="001F65F0">
      <w:pPr>
        <w:pStyle w:val="fejezet1"/>
        <w:rPr>
          <w:lang w:val="hu-HU"/>
        </w:rPr>
      </w:pPr>
      <w:bookmarkStart w:id="4" w:name="_Toc212910377"/>
      <w:r w:rsidRPr="003E168A">
        <w:rPr>
          <w:lang w:val="hu-HU"/>
        </w:rPr>
        <w:t>Szakirodalom és Empirikus alapok</w:t>
      </w:r>
      <w:bookmarkEnd w:id="4"/>
    </w:p>
    <w:p w14:paraId="25EB2917" w14:textId="730CC384" w:rsidR="00914E0E" w:rsidRPr="003E168A" w:rsidRDefault="008C47B9" w:rsidP="00CE0D1C">
      <w:r>
        <w:t>A kvantum-inspirált homogenitás mérés keretmódszertanának alapjai</w:t>
      </w:r>
      <w:r w:rsidR="002106C4">
        <w:t xml:space="preserve"> korábbi MI-alapú homogenitáskutatásaink eredményein és alkalmazott módszertanán nyugszik. </w:t>
      </w:r>
      <w:r w:rsidR="001F65F0" w:rsidRPr="003E168A">
        <w:t>Ezek a vizsgálatok bebizonyították</w:t>
      </w:r>
      <w:r w:rsidR="002106C4">
        <w:t xml:space="preserve"> ugyanis</w:t>
      </w:r>
      <w:r w:rsidR="001F65F0" w:rsidRPr="003E168A">
        <w:t xml:space="preserve">, hogy az automatizált, objektív homogenitásmérés megvalósítható, azaz a homogenitás mint fogalom forráskódba írható, így követi a </w:t>
      </w:r>
      <w:proofErr w:type="spellStart"/>
      <w:r w:rsidR="001F65F0" w:rsidRPr="003E168A">
        <w:t>Knuth</w:t>
      </w:r>
      <w:proofErr w:type="spellEnd"/>
      <w:r w:rsidR="001F65F0" w:rsidRPr="003E168A">
        <w:t>-i elméletrendszert</w:t>
      </w:r>
      <w:r w:rsidR="002106C4">
        <w:t xml:space="preserve"> (vö.</w:t>
      </w:r>
      <w:r w:rsidR="001F65F0" w:rsidRPr="003E168A">
        <w:t xml:space="preserve"> „minden ami forráskódba írható és a számítógép számára elmagyarázható tudomány, minden más pedig művészet</w:t>
      </w:r>
      <w:r w:rsidR="00DE26A4">
        <w:t>”</w:t>
      </w:r>
      <w:r w:rsidR="002106C4">
        <w:t>)</w:t>
      </w:r>
      <w:r w:rsidR="001F65F0" w:rsidRPr="003E168A">
        <w:t>.</w:t>
      </w:r>
    </w:p>
    <w:p w14:paraId="68C5D764" w14:textId="2D47205E" w:rsidR="006A3CB8" w:rsidRDefault="00914E0E" w:rsidP="006A3CB8">
      <w:r w:rsidRPr="003E168A">
        <w:t>Mindhárom eddigi kutatás közös módszertani alapja a COCO Y0 MI-alapú homogenitásmérési keretrendszer volt</w:t>
      </w:r>
      <w:r w:rsidR="002106C4">
        <w:t>, amely</w:t>
      </w:r>
      <w:r w:rsidR="006A3CB8">
        <w:t xml:space="preserve"> feladata egy olyan Y-vektor előállítása, amely minden objektum (pl. ország, régió, település) esetében azonos értéket vesz fel megfelelő súlyozás mellett. Ha ez megvalósul, akkor az objektumok között nincs feloldhatatlan ellentmondás – azaz esélyegyenlőség áll fenn. Ha nem, akkor a modell azonosítja a legnagyobb eltéréseket okozó attribútumokat és objektumokat. Az algoritmus egy speciális ötszörös méretű OAM-</w:t>
      </w:r>
      <w:r w:rsidR="009C5196">
        <w:t>e</w:t>
      </w:r>
      <w:r w:rsidR="006A3CB8">
        <w:t>n dolgozik, azaz minden objektum ötször szerepel, különböző Y-értékekkel (konstans alatti, konstans, konstans feletti értékek). Így a modell arra kényszerül, hogy a konstans értéket becsülje minden objektumra, miközben felderíti az attribútumok relatív fontosságát és a lépcsős függvények szerkezetét.</w:t>
      </w:r>
    </w:p>
    <w:p w14:paraId="1B45F29B" w14:textId="40B13187" w:rsidR="00914E0E" w:rsidRPr="003E168A" w:rsidRDefault="002106C4" w:rsidP="00CE0D1C">
      <w:r>
        <w:t xml:space="preserve">Ez a </w:t>
      </w:r>
      <w:r w:rsidR="00E35E70">
        <w:t>módszer</w:t>
      </w:r>
      <w:r>
        <w:t xml:space="preserve"> nem igényel előzetes humán feltételezéseket sem a homogenitás </w:t>
      </w:r>
      <w:r w:rsidR="00E35E70">
        <w:t xml:space="preserve">szerkezetéről, így az eredmény teljes mértékben objektív és adat vezérelt marad. </w:t>
      </w:r>
      <w:r w:rsidR="00914E0E" w:rsidRPr="003E168A">
        <w:t>Az eddigi kutatásaink</w:t>
      </w:r>
      <w:r w:rsidR="00DE26A4">
        <w:t xml:space="preserve"> legfontosabb</w:t>
      </w:r>
      <w:r w:rsidR="00914E0E" w:rsidRPr="003E168A">
        <w:t xml:space="preserve"> eredményeit ebben a fejezetben mutatom be részletesen. </w:t>
      </w:r>
    </w:p>
    <w:p w14:paraId="222F4FCD" w14:textId="7F85FA6A" w:rsidR="001F65F0" w:rsidRPr="003E168A" w:rsidRDefault="001F65F0" w:rsidP="001F65F0">
      <w:pPr>
        <w:pStyle w:val="fejezet2"/>
      </w:pPr>
      <w:bookmarkStart w:id="5" w:name="_Toc212910378"/>
      <w:r w:rsidRPr="003E168A">
        <w:t>EU homogenitás</w:t>
      </w:r>
      <w:bookmarkEnd w:id="5"/>
    </w:p>
    <w:p w14:paraId="0C153342" w14:textId="1626043F" w:rsidR="001F65F0" w:rsidRDefault="00487661" w:rsidP="00CE0D1C">
      <w:r>
        <w:t xml:space="preserve">A 2023-ban íródott szakdolgozatomban egy olyan keretrendszert fejlesztettem ki, ami képes </w:t>
      </w:r>
      <w:r w:rsidR="001F65F0" w:rsidRPr="003E168A">
        <w:t>az EU</w:t>
      </w:r>
      <w:r>
        <w:t>-s</w:t>
      </w:r>
      <w:r w:rsidR="001F65F0" w:rsidRPr="003E168A">
        <w:t xml:space="preserve"> tagállamok gazdasági és társadalmi homogenitásának mérésére. Az elemzés </w:t>
      </w:r>
      <w:r w:rsidR="00E35E70">
        <w:t>5</w:t>
      </w:r>
      <w:r w:rsidR="001F65F0" w:rsidRPr="003E168A">
        <w:t xml:space="preserve"> OECD változót vizsgált</w:t>
      </w:r>
      <w:r w:rsidR="00E35E70">
        <w:t xml:space="preserve"> (vö. átlagbér alakulása, munkával eltöltött idő mérése, várható élettartam, munkanélküliségi ráta, valamint a GDP) </w:t>
      </w:r>
      <w:r w:rsidR="001F65F0" w:rsidRPr="003E168A">
        <w:t>az EU</w:t>
      </w:r>
      <w:r w:rsidR="00E35E70">
        <w:t xml:space="preserve"> 22</w:t>
      </w:r>
      <w:r w:rsidR="001F65F0" w:rsidRPr="003E168A">
        <w:t xml:space="preserve"> tagállam</w:t>
      </w:r>
      <w:r w:rsidR="00E35E70">
        <w:t>ai</w:t>
      </w:r>
      <w:r w:rsidR="001F65F0" w:rsidRPr="003E168A">
        <w:t xml:space="preserve"> vonatkozásában, és kimutatta, hogy a gazdasági homogenitás időbeli alakulása nem lineáris, hanem ciklikus </w:t>
      </w:r>
      <w:proofErr w:type="spellStart"/>
      <w:r w:rsidR="001F65F0" w:rsidRPr="003E168A">
        <w:t>mintázatokat</w:t>
      </w:r>
      <w:proofErr w:type="spellEnd"/>
      <w:r w:rsidR="001F65F0" w:rsidRPr="003E168A">
        <w:t xml:space="preserve"> mutat. </w:t>
      </w:r>
      <w:r w:rsidR="00894584">
        <w:t>Így az</w:t>
      </w:r>
      <w:r w:rsidR="001F65F0" w:rsidRPr="003E168A">
        <w:t xml:space="preserve"> MI-alapú módszertan </w:t>
      </w:r>
      <w:r w:rsidR="00894584">
        <w:t xml:space="preserve">nem csak azt tette </w:t>
      </w:r>
      <w:r w:rsidR="001F65F0" w:rsidRPr="003E168A">
        <w:t>lehetővé, hogy</w:t>
      </w:r>
      <w:r w:rsidR="00894584">
        <w:t xml:space="preserve"> az EU tagállamait homogenitásuk alapján sorrendbe állíts</w:t>
      </w:r>
      <w:r>
        <w:t>am</w:t>
      </w:r>
      <w:r w:rsidR="00894584">
        <w:t>, hanem azt is, hogy</w:t>
      </w:r>
      <w:r w:rsidR="001F65F0" w:rsidRPr="003E168A">
        <w:t xml:space="preserve"> objektív módon azonosíthatók </w:t>
      </w:r>
      <w:r w:rsidR="001F65F0" w:rsidRPr="003E168A">
        <w:lastRenderedPageBreak/>
        <w:t>legyenek a homogenitás kritikus változásai</w:t>
      </w:r>
      <w:r w:rsidR="00894584">
        <w:t xml:space="preserve"> a felhasznált 22 tagállam idősoros statisztikai adatai alapján.</w:t>
      </w:r>
    </w:p>
    <w:p w14:paraId="728108C4" w14:textId="77777777" w:rsidR="003E67FB" w:rsidRDefault="00397F70" w:rsidP="003E67FB">
      <w:pPr>
        <w:keepNext/>
        <w:ind w:firstLine="0"/>
        <w:jc w:val="center"/>
      </w:pPr>
      <w:r>
        <w:rPr>
          <w:noProof/>
        </w:rPr>
        <w:drawing>
          <wp:inline distT="0" distB="0" distL="0" distR="0" wp14:anchorId="474467C3" wp14:editId="0C285193">
            <wp:extent cx="4786745" cy="2230120"/>
            <wp:effectExtent l="0" t="0" r="13970" b="17780"/>
            <wp:docPr id="3281425" name="Diagram 1">
              <a:extLst xmlns:a="http://schemas.openxmlformats.org/drawingml/2006/main">
                <a:ext uri="{FF2B5EF4-FFF2-40B4-BE49-F238E27FC236}">
                  <a16:creationId xmlns:a16="http://schemas.microsoft.com/office/drawing/2014/main" id="{D2C9A2A0-A965-79D4-9CEA-CDC2566250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4EE28B" w14:textId="24D8D846" w:rsidR="003E67FB" w:rsidRDefault="003E67FB" w:rsidP="003E67FB">
      <w:pPr>
        <w:pStyle w:val="Kpalrs"/>
        <w:spacing w:after="120"/>
        <w:jc w:val="right"/>
      </w:pPr>
      <w:fldSimple w:instr=" SEQ ábra \* ARABIC ">
        <w:bookmarkStart w:id="6" w:name="_Toc212910263"/>
        <w:r w:rsidR="00601661">
          <w:rPr>
            <w:noProof/>
          </w:rPr>
          <w:t>1</w:t>
        </w:r>
      </w:fldSimple>
      <w:r>
        <w:t>. ábra: Az Európai Homogenitás indexek átlaga, Forrás: Váradi Dániel, Az EU monitoring rendszerének</w:t>
      </w:r>
      <w:bookmarkEnd w:id="6"/>
      <w:r>
        <w:t xml:space="preserve"> </w:t>
      </w:r>
    </w:p>
    <w:p w14:paraId="18039220" w14:textId="64927DA1" w:rsidR="00894584" w:rsidRPr="003E168A" w:rsidRDefault="003E67FB" w:rsidP="003E67FB">
      <w:pPr>
        <w:pStyle w:val="Kpalrs"/>
        <w:spacing w:after="120"/>
        <w:jc w:val="right"/>
      </w:pPr>
      <w:r>
        <w:t>mesterséges intelligencia alapokra helyezése szakdolgozat</w:t>
      </w:r>
    </w:p>
    <w:p w14:paraId="4E448D3A" w14:textId="4C1D2004" w:rsidR="00397F70" w:rsidRDefault="001F65F0" w:rsidP="00CE0D1C">
      <w:r w:rsidRPr="003E168A">
        <w:t>Az</w:t>
      </w:r>
      <w:r w:rsidR="00397F70">
        <w:t xml:space="preserve"> első </w:t>
      </w:r>
      <w:r w:rsidR="009C5196">
        <w:t>ábrán</w:t>
      </w:r>
      <w:r w:rsidR="00397F70">
        <w:t xml:space="preserve"> bemutatott eredmények</w:t>
      </w:r>
      <w:r w:rsidRPr="003E168A">
        <w:t xml:space="preserve"> szerint</w:t>
      </w:r>
      <w:r w:rsidR="00397F70">
        <w:t xml:space="preserve"> (minél kisebb annál jobb)</w:t>
      </w:r>
      <w:r w:rsidRPr="003E168A">
        <w:t xml:space="preserve"> az EU homogenitása 2004 és 2008 között erősödött, majd a pénzügyi válság hatására </w:t>
      </w:r>
      <w:r w:rsidR="00397F70">
        <w:t xml:space="preserve"> a 2006-os szintre </w:t>
      </w:r>
      <w:r w:rsidRPr="003E168A">
        <w:t>csökkent. A 201</w:t>
      </w:r>
      <w:r w:rsidR="00397F70">
        <w:t>3</w:t>
      </w:r>
      <w:r w:rsidRPr="003E168A">
        <w:t>-</w:t>
      </w:r>
      <w:r w:rsidR="00397F70">
        <w:t>a</w:t>
      </w:r>
      <w:r w:rsidRPr="003E168A">
        <w:t>s évek közepétől újból javulás volt tapasztalható, amit azonban a Covid-19 pandémia megállított</w:t>
      </w:r>
      <w:r w:rsidR="00397F70">
        <w:t xml:space="preserve"> és így a homogenitás kb. 2014-es évi mértékre csökkent vissza</w:t>
      </w:r>
      <w:r w:rsidRPr="003E168A">
        <w:t xml:space="preserve">. </w:t>
      </w:r>
    </w:p>
    <w:p w14:paraId="245C1EE7" w14:textId="55A0DFB1" w:rsidR="001F65F0" w:rsidRPr="003E168A" w:rsidRDefault="001F65F0" w:rsidP="00CE0D1C">
      <w:r w:rsidRPr="003E168A">
        <w:t xml:space="preserve">Ez az empirikus mintázat </w:t>
      </w:r>
      <w:r w:rsidR="00397F70">
        <w:t>szembetűnő</w:t>
      </w:r>
      <w:r w:rsidRPr="003E168A">
        <w:t xml:space="preserve"> hasonlóságot mutat a kvantummechanikai </w:t>
      </w:r>
      <w:proofErr w:type="spellStart"/>
      <w:r w:rsidRPr="003E168A">
        <w:t>dekoherencia-rekoherencia</w:t>
      </w:r>
      <w:proofErr w:type="spellEnd"/>
      <w:r w:rsidRPr="003E168A">
        <w:t xml:space="preserve"> folyamatokkal, ahol egy koherens állapot külső zavar hatására </w:t>
      </w:r>
      <w:proofErr w:type="spellStart"/>
      <w:r w:rsidRPr="003E168A">
        <w:t>dekohereál</w:t>
      </w:r>
      <w:proofErr w:type="spellEnd"/>
      <w:r w:rsidRPr="003E168A">
        <w:t xml:space="preserve">, majd </w:t>
      </w:r>
      <w:r w:rsidR="00397F70">
        <w:t xml:space="preserve">ez a </w:t>
      </w:r>
      <w:r w:rsidRPr="003E168A">
        <w:t>kedvező körülmények között újra koherenssé vál</w:t>
      </w:r>
      <w:r w:rsidR="00397F70">
        <w:t>ik</w:t>
      </w:r>
      <w:r w:rsidRPr="003E168A">
        <w:t>.</w:t>
      </w:r>
    </w:p>
    <w:p w14:paraId="7D1A5908" w14:textId="4C23D0D0" w:rsidR="001F65F0" w:rsidRPr="003E168A" w:rsidRDefault="00617FAC" w:rsidP="001F65F0">
      <w:pPr>
        <w:pStyle w:val="fejezet2"/>
      </w:pPr>
      <w:bookmarkStart w:id="7" w:name="_Toc212910379"/>
      <w:r>
        <w:t>A</w:t>
      </w:r>
      <w:r w:rsidR="001F65F0" w:rsidRPr="003E168A">
        <w:t xml:space="preserve"> Mezőföld fenntarthatósági elemzése</w:t>
      </w:r>
      <w:bookmarkEnd w:id="7"/>
    </w:p>
    <w:p w14:paraId="00F3E922" w14:textId="6520EA2D" w:rsidR="003F118E" w:rsidRDefault="001F65F0" w:rsidP="00CE0D1C">
      <w:r w:rsidRPr="003E168A">
        <w:t>2024</w:t>
      </w:r>
      <w:r w:rsidR="00487661">
        <w:t>-ben Kulcsár László és Pitlik László közreműködésével elvégeztük</w:t>
      </w:r>
      <w:r w:rsidRPr="003E168A">
        <w:t xml:space="preserve"> a Mezőföld régió 37 településének fenntarthatósági elemzését</w:t>
      </w:r>
      <w:r w:rsidR="00487661">
        <w:t>,</w:t>
      </w:r>
      <w:r w:rsidR="003F118E">
        <w:t xml:space="preserve"> melyhez szintén</w:t>
      </w:r>
      <w:r w:rsidR="00487661">
        <w:t xml:space="preserve"> az</w:t>
      </w:r>
      <w:r w:rsidRPr="003E168A">
        <w:t xml:space="preserve"> MI-alapú </w:t>
      </w:r>
      <w:r w:rsidR="003F118E">
        <w:t>COCO Y0 motort használtuk</w:t>
      </w:r>
      <w:r w:rsidRPr="003E168A">
        <w:t>.</w:t>
      </w:r>
    </w:p>
    <w:p w14:paraId="40831411" w14:textId="51FE0741" w:rsidR="009B4956" w:rsidRDefault="003F118E" w:rsidP="00CE0D1C">
      <w:r>
        <w:t>A</w:t>
      </w:r>
      <w:r w:rsidR="00E02E0A">
        <w:t>z empirikus</w:t>
      </w:r>
      <w:r>
        <w:t xml:space="preserve"> kutatás</w:t>
      </w:r>
      <w:r w:rsidR="00E02E0A">
        <w:t xml:space="preserve"> bemeneti adatbázisa</w:t>
      </w:r>
      <w:r>
        <w:t xml:space="preserve"> négy évtized statisztikai (vö. </w:t>
      </w:r>
      <w:proofErr w:type="spellStart"/>
      <w:r>
        <w:t>TEiR</w:t>
      </w:r>
      <w:proofErr w:type="spellEnd"/>
      <w:r>
        <w:t>) adatai</w:t>
      </w:r>
      <w:r w:rsidR="00E02E0A">
        <w:t xml:space="preserve"> voltak, melyek alapján – további optimalizációs módszerek segítségével – azonosítottuk a legfentarthatóbb településcsoportokat. </w:t>
      </w:r>
      <w:r w:rsidR="001F65F0" w:rsidRPr="003E168A">
        <w:t xml:space="preserve">Az </w:t>
      </w:r>
      <w:r w:rsidR="00E02E0A">
        <w:t xml:space="preserve">így megkapott </w:t>
      </w:r>
      <w:r w:rsidR="001F65F0" w:rsidRPr="003E168A">
        <w:t>eredmények</w:t>
      </w:r>
      <w:r w:rsidR="00E02E0A">
        <w:t>re támaszkodva kijelenthető, hogy</w:t>
      </w:r>
      <w:r w:rsidR="001F65F0" w:rsidRPr="003E168A">
        <w:t xml:space="preserve"> a </w:t>
      </w:r>
      <w:r w:rsidR="00E02E0A">
        <w:t xml:space="preserve">Mezőföld </w:t>
      </w:r>
      <w:r w:rsidR="001F65F0" w:rsidRPr="003E168A">
        <w:t>régió homogenitás</w:t>
      </w:r>
      <w:r w:rsidR="009B4956">
        <w:t>ának eloszlása nem egyenletes a különböző településtípusok között</w:t>
      </w:r>
      <w:r w:rsidR="009C5196">
        <w:t>,</w:t>
      </w:r>
      <w:r w:rsidR="001F65F0" w:rsidRPr="003E168A">
        <w:t xml:space="preserve"> </w:t>
      </w:r>
      <w:r w:rsidR="009C5196">
        <w:t>v</w:t>
      </w:r>
      <w:r w:rsidR="001F65F0" w:rsidRPr="003E168A">
        <w:t>annak olyan településklaszterek, amelyek erős belső kohéziót mutatnak, míg mások periferikus helyzetben vannak</w:t>
      </w:r>
      <w:r w:rsidR="009B4956">
        <w:t>, de</w:t>
      </w:r>
      <w:r w:rsidR="001F65F0" w:rsidRPr="003E168A">
        <w:t xml:space="preserve"> </w:t>
      </w:r>
      <w:r w:rsidR="009B4956">
        <w:t>a regionális kohézió fenntartásában legfőképp a középvárosok játszanak meghatározó szerepet (vö. Székesfehérvár, Dunaújváros).</w:t>
      </w:r>
    </w:p>
    <w:p w14:paraId="3BF7A8F3" w14:textId="77777777" w:rsidR="00F5369F" w:rsidRDefault="001F65F0" w:rsidP="00CE0D1C">
      <w:r w:rsidRPr="003E168A">
        <w:t>A</w:t>
      </w:r>
      <w:r w:rsidR="00F5369F">
        <w:t xml:space="preserve"> fentieken kívül a</w:t>
      </w:r>
      <w:r w:rsidRPr="003E168A">
        <w:t xml:space="preserve"> vizsgálat rávilágított arra is, hogy a regionális homogenitás</w:t>
      </w:r>
      <w:r w:rsidR="009B4956">
        <w:t xml:space="preserve"> időben változik, </w:t>
      </w:r>
      <w:r w:rsidR="00F5369F">
        <w:t>ezért ez</w:t>
      </w:r>
      <w:r w:rsidR="009B4956">
        <w:t xml:space="preserve"> nem </w:t>
      </w:r>
      <w:r w:rsidR="00F5369F">
        <w:t>írható le egyetlen</w:t>
      </w:r>
      <w:r w:rsidR="009B4956">
        <w:t xml:space="preserve"> statikus pontként</w:t>
      </w:r>
      <w:r w:rsidRPr="003E168A">
        <w:t xml:space="preserve">, hanem </w:t>
      </w:r>
      <w:r w:rsidR="009B4956">
        <w:t xml:space="preserve">ez </w:t>
      </w:r>
      <w:r w:rsidRPr="003E168A">
        <w:t xml:space="preserve">egy olyan dinamikus </w:t>
      </w:r>
      <w:r w:rsidRPr="003E168A">
        <w:lastRenderedPageBreak/>
        <w:t>folyamat, amelyet külső gazdasági sokkok (például a 2008-as válság, a mezőgazdasági szubvenciók változása) jelentősen befolyásolnak.</w:t>
      </w:r>
    </w:p>
    <w:p w14:paraId="76D6954B" w14:textId="3553937B" w:rsidR="001F65F0" w:rsidRPr="003E168A" w:rsidRDefault="00F5369F" w:rsidP="00CE0D1C">
      <w:r>
        <w:t xml:space="preserve">A fent bemutatott eredményekből jól látszik, hogy ezek a folyamatok szorosan kapcsolódnak </w:t>
      </w:r>
      <w:r w:rsidR="001F65F0" w:rsidRPr="003E168A">
        <w:t xml:space="preserve">a kritikus átmenetek és bifurkációk elméletéhez, </w:t>
      </w:r>
      <w:r w:rsidR="00487661">
        <w:t>így</w:t>
      </w:r>
      <w:r w:rsidR="001F65F0" w:rsidRPr="003E168A">
        <w:t xml:space="preserve"> alátámasztja a kvantum-analóg </w:t>
      </w:r>
      <w:proofErr w:type="spellStart"/>
      <w:r w:rsidR="001F65F0" w:rsidRPr="003E168A">
        <w:t>dekoherencia</w:t>
      </w:r>
      <w:proofErr w:type="spellEnd"/>
      <w:r w:rsidR="001F65F0" w:rsidRPr="003E168A">
        <w:t>-modell relevanciáját</w:t>
      </w:r>
      <w:r w:rsidR="00487661">
        <w:t xml:space="preserve"> </w:t>
      </w:r>
      <w:r>
        <w:t>már a régiós homogenitásmérési szinten is</w:t>
      </w:r>
      <w:r w:rsidR="001F65F0" w:rsidRPr="003E168A">
        <w:t>.</w:t>
      </w:r>
    </w:p>
    <w:p w14:paraId="212A5529" w14:textId="71F62A3D" w:rsidR="001F65F0" w:rsidRPr="003E168A" w:rsidRDefault="001F65F0" w:rsidP="001F65F0">
      <w:pPr>
        <w:pStyle w:val="fejezet2"/>
      </w:pPr>
      <w:bookmarkStart w:id="8" w:name="_Toc212910380"/>
      <w:r w:rsidRPr="003E168A">
        <w:t>Budapest és agglomeráció</w:t>
      </w:r>
      <w:r w:rsidR="00617FAC">
        <w:t xml:space="preserve"> kulturális kohéziója</w:t>
      </w:r>
      <w:bookmarkEnd w:id="8"/>
    </w:p>
    <w:p w14:paraId="2C7C0B6E" w14:textId="77777777" w:rsidR="00601661" w:rsidRDefault="00F5369F" w:rsidP="00CE0D1C">
      <w:r>
        <w:t xml:space="preserve">Mesterfokozatos diplomamunkában Budapest 23 kerületének és a közvetlen szomszédságot jelentő települések kulturális kohéziójának automatizált mérését végeztem el, szintén az MI-segítségével. A kutatás olyan nagyvolumenű adatvagyonra épült </w:t>
      </w:r>
      <w:r w:rsidR="001F65F0" w:rsidRPr="003E168A">
        <w:t xml:space="preserve">amely </w:t>
      </w:r>
      <w:r>
        <w:t>magában foglalta</w:t>
      </w:r>
      <w:r w:rsidR="001F65F0" w:rsidRPr="003E168A">
        <w:t xml:space="preserve"> a</w:t>
      </w:r>
      <w:r w:rsidR="009202A5">
        <w:t xml:space="preserve"> </w:t>
      </w:r>
      <w:proofErr w:type="spellStart"/>
      <w:r w:rsidR="009202A5">
        <w:t>TEiR</w:t>
      </w:r>
      <w:proofErr w:type="spellEnd"/>
      <w:r w:rsidR="009202A5">
        <w:t xml:space="preserve"> adatbázisban elérhető</w:t>
      </w:r>
      <w:r w:rsidR="001F65F0" w:rsidRPr="003E168A">
        <w:t xml:space="preserve"> demográfiai, oktatási, kulturális és gazdasági mutatókat</w:t>
      </w:r>
      <w:r>
        <w:t xml:space="preserve"> is egyaránt</w:t>
      </w:r>
      <w:r w:rsidR="001F65F0" w:rsidRPr="003E168A">
        <w:t>.</w:t>
      </w:r>
      <w:r>
        <w:t xml:space="preserve"> A kutatás módszertana kiterjedt az egyes </w:t>
      </w:r>
      <w:r w:rsidR="00360243">
        <w:t>mutatók</w:t>
      </w:r>
      <w:r>
        <w:t xml:space="preserve"> </w:t>
      </w:r>
      <w:proofErr w:type="spellStart"/>
      <w:r>
        <w:t>relativizálására</w:t>
      </w:r>
      <w:proofErr w:type="spellEnd"/>
      <w:r>
        <w:t xml:space="preserve"> és normalizálására, </w:t>
      </w:r>
      <w:r w:rsidR="00360243">
        <w:t xml:space="preserve">a kulturális kohézió objektív mérésére kialakított MI-alapú hasonlóság-elemzés rendszereire, valamint egy újonnan bevezetett statisztikai neuronok használatára is. </w:t>
      </w:r>
    </w:p>
    <w:p w14:paraId="4818ED13" w14:textId="77777777" w:rsidR="00601661" w:rsidRDefault="00601661" w:rsidP="00617FAC">
      <w:pPr>
        <w:keepNext/>
        <w:jc w:val="center"/>
      </w:pPr>
      <w:r w:rsidRPr="00601661">
        <w:rPr>
          <w:noProof/>
        </w:rPr>
        <w:drawing>
          <wp:inline distT="0" distB="0" distL="0" distR="0" wp14:anchorId="2895AB3D" wp14:editId="08096C3D">
            <wp:extent cx="5759450" cy="2755900"/>
            <wp:effectExtent l="0" t="0" r="0" b="6350"/>
            <wp:docPr id="1515610285" name="Kép 1" descr="A képen szöveg, szám, Betűtípus, nyugta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10285" name="Kép 1" descr="A képen szöveg, szám, Betűtípus, nyugta látható&#10;&#10;Előfordulhat, hogy az AI által létrehozott tartalom helytelen."/>
                    <pic:cNvPicPr/>
                  </pic:nvPicPr>
                  <pic:blipFill>
                    <a:blip r:embed="rId9"/>
                    <a:stretch>
                      <a:fillRect/>
                    </a:stretch>
                  </pic:blipFill>
                  <pic:spPr>
                    <a:xfrm>
                      <a:off x="0" y="0"/>
                      <a:ext cx="5759450" cy="2755900"/>
                    </a:xfrm>
                    <a:prstGeom prst="rect">
                      <a:avLst/>
                    </a:prstGeom>
                  </pic:spPr>
                </pic:pic>
              </a:graphicData>
            </a:graphic>
          </wp:inline>
        </w:drawing>
      </w:r>
    </w:p>
    <w:p w14:paraId="0607FC1B" w14:textId="35423319" w:rsidR="00360243" w:rsidRDefault="00601661" w:rsidP="00601661">
      <w:pPr>
        <w:pStyle w:val="Kpalrs"/>
        <w:jc w:val="right"/>
      </w:pPr>
      <w:fldSimple w:instr=" SEQ ábra \* ARABIC ">
        <w:bookmarkStart w:id="9" w:name="_Toc212910264"/>
        <w:r>
          <w:rPr>
            <w:noProof/>
          </w:rPr>
          <w:t>2</w:t>
        </w:r>
      </w:fldSimple>
      <w:r>
        <w:t>. ábra: Organikus fejlődéssel és vákuum hatással jellemezhető területek Budapest és az agglomeráció</w:t>
      </w:r>
      <w:r w:rsidR="00617FAC">
        <w:t xml:space="preserve"> tekintetében</w:t>
      </w:r>
      <w:r>
        <w:t xml:space="preserve">, Forrás: Váradi Dániel, </w:t>
      </w:r>
      <w:proofErr w:type="spellStart"/>
      <w:r>
        <w:t>MSc</w:t>
      </w:r>
      <w:proofErr w:type="spellEnd"/>
      <w:r>
        <w:t>. Szakdolgozat, Mértékegység: dimenzió nélküli indexszám</w:t>
      </w:r>
      <w:bookmarkEnd w:id="9"/>
    </w:p>
    <w:p w14:paraId="6739681E" w14:textId="7FD36647" w:rsidR="00E41C2C" w:rsidRDefault="00601661" w:rsidP="00CE0D1C">
      <w:r>
        <w:t>Ahogy az a 2. ábrán is látható</w:t>
      </w:r>
      <w:r w:rsidR="004764A0">
        <w:t xml:space="preserve"> két alapvető térbeli jelenséget azonosított</w:t>
      </w:r>
      <w:r>
        <w:t>am</w:t>
      </w:r>
      <w:r w:rsidR="004764A0">
        <w:t xml:space="preserve"> Budapest szerkezetében. Az első az organikusan fejlődő kerületek és</w:t>
      </w:r>
      <w:r w:rsidR="009202A5">
        <w:t xml:space="preserve"> agglomerációs</w:t>
      </w:r>
      <w:r w:rsidR="004764A0">
        <w:t xml:space="preserve"> települések (vö. </w:t>
      </w:r>
      <w:r w:rsidR="00E41C2C" w:rsidRPr="00E41C2C">
        <w:t xml:space="preserve">III., IV. kerületek, valamint </w:t>
      </w:r>
      <w:r>
        <w:t>Üröm</w:t>
      </w:r>
      <w:r w:rsidR="00E41C2C" w:rsidRPr="00E41C2C">
        <w:t xml:space="preserve"> és Dunakeszi)</w:t>
      </w:r>
      <w:r w:rsidR="004764A0">
        <w:t xml:space="preserve">. </w:t>
      </w:r>
      <w:r w:rsidR="004764A0" w:rsidRPr="004764A0">
        <w:t>Az adatok alapján ezeken a területeken a kulturális kohézió tartós és egyértelműen definiálható</w:t>
      </w:r>
      <w:r w:rsidR="004764A0">
        <w:t xml:space="preserve">, hiszen </w:t>
      </w:r>
      <w:r w:rsidR="004764A0" w:rsidRPr="004764A0">
        <w:t>a</w:t>
      </w:r>
      <w:r w:rsidR="004764A0">
        <w:t xml:space="preserve"> vizsgálatok során</w:t>
      </w:r>
      <w:r w:rsidR="009202A5">
        <w:t xml:space="preserve"> </w:t>
      </w:r>
      <w:r w:rsidR="004764A0">
        <w:t>ezek homogenitási értékei konzisztens értéket mutattak mind a statisztikai neuronok, mind a területi stabilitás tekintetében.</w:t>
      </w:r>
      <w:r w:rsidR="00594ADF">
        <w:t xml:space="preserve"> A második a vákuum zónák kategóriája volt (vö. </w:t>
      </w:r>
      <w:r w:rsidR="00E41C2C" w:rsidRPr="00E41C2C">
        <w:t>II., XVII. kerületek, valamint Remeteszőlős, Nagytarcsa, Pécel)</w:t>
      </w:r>
      <w:r w:rsidR="00594ADF">
        <w:t>, melyek úgynevezett átmeneti területek</w:t>
      </w:r>
      <w:r w:rsidR="009202A5">
        <w:t>nek fogható</w:t>
      </w:r>
      <w:r>
        <w:t>k</w:t>
      </w:r>
      <w:r w:rsidR="009202A5">
        <w:t xml:space="preserve"> fel</w:t>
      </w:r>
      <w:r w:rsidR="00594ADF">
        <w:t xml:space="preserve">, mert nem lehetett egyértelműen meghatározni, </w:t>
      </w:r>
      <w:r w:rsidR="009202A5">
        <w:t xml:space="preserve">hogy </w:t>
      </w:r>
      <w:r w:rsidR="00594ADF">
        <w:t xml:space="preserve">a budapesti vagy az agglomerációs </w:t>
      </w:r>
      <w:r w:rsidR="00594ADF">
        <w:lastRenderedPageBreak/>
        <w:t xml:space="preserve">kulturális kohézióhoz tartoznak-e. </w:t>
      </w:r>
      <w:r w:rsidR="00594ADF" w:rsidRPr="00594ADF">
        <w:t>E jelenség kialakulása szorosan összefügg a</w:t>
      </w:r>
      <w:r w:rsidR="00594ADF">
        <w:t xml:space="preserve"> napjainkban is tapasztal</w:t>
      </w:r>
      <w:r w:rsidR="009202A5">
        <w:t>t</w:t>
      </w:r>
      <w:r w:rsidR="00594ADF" w:rsidRPr="00594ADF">
        <w:t xml:space="preserve"> szuburbanizációs folyamatokkal</w:t>
      </w:r>
      <w:r w:rsidR="00594ADF">
        <w:t>, miszerint</w:t>
      </w:r>
      <w:r w:rsidR="00594ADF" w:rsidRPr="00594ADF">
        <w:t xml:space="preserve"> a budapesti lakosság egy része kevésbé urbanizált életmódot </w:t>
      </w:r>
      <w:r w:rsidR="00594ADF">
        <w:t>keres és így</w:t>
      </w:r>
      <w:r w:rsidR="00594ADF" w:rsidRPr="00594ADF">
        <w:t xml:space="preserve"> az agglomeráció településeire költözik</w:t>
      </w:r>
      <w:r w:rsidR="00594ADF">
        <w:t>. Ez a jelenség pedig</w:t>
      </w:r>
      <w:r w:rsidR="00594ADF" w:rsidRPr="00594ADF">
        <w:t xml:space="preserve"> instabil kulturális határzónák</w:t>
      </w:r>
      <w:r w:rsidR="008D6039">
        <w:t xml:space="preserve"> kialakulásához vezet </w:t>
      </w:r>
      <w:r w:rsidR="00594ADF">
        <w:t xml:space="preserve">Budapest és az agglomeráció kohéziója között. </w:t>
      </w:r>
    </w:p>
    <w:p w14:paraId="01736F28" w14:textId="13A74BD6" w:rsidR="002B744F" w:rsidRDefault="00594ADF" w:rsidP="005D2AF3">
      <w:r>
        <w:t xml:space="preserve">Ezek az eredmények értelmezései különösen </w:t>
      </w:r>
      <w:proofErr w:type="spellStart"/>
      <w:r>
        <w:t>fontosak</w:t>
      </w:r>
      <w:proofErr w:type="spellEnd"/>
      <w:r>
        <w:t xml:space="preserve"> lehetnek a kvantum-inspirált szuperpozíciós modellezés szempontjából</w:t>
      </w:r>
      <w:r w:rsidR="009202A5">
        <w:t>, m</w:t>
      </w:r>
      <w:r>
        <w:t xml:space="preserve">ivel a háztartások döntései általában több egyensúlyi állapot képviselnek (pl. belváros előnyei </w:t>
      </w:r>
      <w:proofErr w:type="spellStart"/>
      <w:r>
        <w:t>vs</w:t>
      </w:r>
      <w:proofErr w:type="spellEnd"/>
      <w:r>
        <w:t xml:space="preserve">. agglomeráció előnyei </w:t>
      </w:r>
      <w:proofErr w:type="spellStart"/>
      <w:r w:rsidR="00444646">
        <w:t>vs</w:t>
      </w:r>
      <w:proofErr w:type="spellEnd"/>
      <w:r w:rsidR="00444646">
        <w:t>.</w:t>
      </w:r>
      <w:r>
        <w:t xml:space="preserve"> lakhatási költségek), </w:t>
      </w:r>
      <w:r w:rsidR="00444646">
        <w:t xml:space="preserve">ezért </w:t>
      </w:r>
      <w:r>
        <w:t xml:space="preserve"> </w:t>
      </w:r>
      <w:r w:rsidR="00444646">
        <w:t xml:space="preserve">itt a kvantum-inspirált megközelítés lehetővé tenné, hogy ezeket az állapotokat ne diszkrét kategóriákként modellezük, hanem szuperpozícióként, ahol egy-egy település vagy kerület egyszerre több fejlődési pályán is „mozoghat” mindaddig, ameddig egy külső döntés vagy egy esemény hatására egy fejlődési pályára „rögzül”. </w:t>
      </w:r>
    </w:p>
    <w:p w14:paraId="61D9EDEC" w14:textId="77777777" w:rsidR="001F65F0" w:rsidRPr="003E168A" w:rsidRDefault="001F65F0" w:rsidP="001F65F0">
      <w:pPr>
        <w:pStyle w:val="fejezet2"/>
      </w:pPr>
      <w:bookmarkStart w:id="10" w:name="_Toc212910381"/>
      <w:r w:rsidRPr="003E168A">
        <w:t>Az AI-alapú kutatások és a kvantum-inspirált modellek kapcsolata</w:t>
      </w:r>
      <w:bookmarkEnd w:id="10"/>
    </w:p>
    <w:p w14:paraId="3F63DC81" w14:textId="58FD3E34" w:rsidR="001F65F0" w:rsidRPr="003E168A" w:rsidRDefault="001F65F0" w:rsidP="00CE0D1C">
      <w:r w:rsidRPr="003E168A">
        <w:t>A</w:t>
      </w:r>
      <w:r w:rsidR="00DC0E20" w:rsidRPr="003E168A">
        <w:t>z eddigi alfejezetekben</w:t>
      </w:r>
      <w:r w:rsidRPr="003E168A">
        <w:t xml:space="preserve"> bemutatott három MI-alapú esettanulmány</w:t>
      </w:r>
      <w:r w:rsidR="006A3CB8">
        <w:t xml:space="preserve">ok </w:t>
      </w:r>
      <w:r w:rsidRPr="003E168A">
        <w:t xml:space="preserve">konkrét empirikus bizonyítékokat szolgáltatnak arra, hogy a homogenitás időbeli dinamikája valóban nem-lineáris, válságérzékeny és többállapotú. Ezek az eredmények kiváló alapot nyújtanak a kvantum-inspirált modellek fejlesztésére, amely explicit módon modellezné a szuperpozíciót, a </w:t>
      </w:r>
      <w:proofErr w:type="spellStart"/>
      <w:r w:rsidRPr="003E168A">
        <w:t>dekoherenciát</w:t>
      </w:r>
      <w:proofErr w:type="spellEnd"/>
      <w:r w:rsidRPr="003E168A">
        <w:t>, és a bifurkációkat.</w:t>
      </w:r>
      <w:r w:rsidR="006A3CB8">
        <w:t xml:space="preserve"> </w:t>
      </w:r>
      <w:r w:rsidR="006A3CB8" w:rsidRPr="006A3CB8">
        <w:t xml:space="preserve">A </w:t>
      </w:r>
      <w:r w:rsidR="009202A5">
        <w:t xml:space="preserve">jövőben </w:t>
      </w:r>
      <w:r w:rsidR="006A3CB8" w:rsidRPr="006A3CB8">
        <w:t>tervezett eurozóna HICP kutatás – amely a módszertan következő validációs lépése lenne – tovább erősíthetné ezeket a következtetéseket.</w:t>
      </w:r>
      <w:r w:rsidRPr="003E168A">
        <w:t xml:space="preserve"> A kvantum-inspirált megközelítés tehát nem a korábbi kutatások helyettesítését, hanem azok elméleti megalapozását és továbbfejlesztését </w:t>
      </w:r>
      <w:proofErr w:type="spellStart"/>
      <w:r w:rsidRPr="003E168A">
        <w:t>jelen</w:t>
      </w:r>
      <w:r w:rsidR="009202A5">
        <w:t>ené</w:t>
      </w:r>
      <w:proofErr w:type="spellEnd"/>
      <w:r w:rsidR="00DC0E20" w:rsidRPr="003E168A">
        <w:t>, melyek pontos módszertanát a negyedik fejezetben ismertetem.</w:t>
      </w:r>
    </w:p>
    <w:p w14:paraId="0335A672" w14:textId="2255B6BD" w:rsidR="00A40917" w:rsidRPr="003E168A" w:rsidRDefault="001F65F0" w:rsidP="00A40917">
      <w:pPr>
        <w:pStyle w:val="fejezet1"/>
        <w:rPr>
          <w:lang w:val="hu-HU"/>
        </w:rPr>
      </w:pPr>
      <w:bookmarkStart w:id="11" w:name="_Toc212910382"/>
      <w:r w:rsidRPr="003E168A">
        <w:rPr>
          <w:lang w:val="hu-HU"/>
        </w:rPr>
        <w:t>Kvantum-inspirált m</w:t>
      </w:r>
      <w:r w:rsidR="00A40917" w:rsidRPr="003E168A">
        <w:rPr>
          <w:lang w:val="hu-HU"/>
        </w:rPr>
        <w:t>ódszertani megközelítés</w:t>
      </w:r>
      <w:bookmarkEnd w:id="11"/>
    </w:p>
    <w:p w14:paraId="052CB883" w14:textId="0A415178" w:rsidR="00A40917" w:rsidRPr="003E168A" w:rsidRDefault="00A40917" w:rsidP="009202A5">
      <w:r w:rsidRPr="003E168A">
        <w:t>A tanulmány ajánlott módszertana három kvantumfizikai definíció pillér</w:t>
      </w:r>
      <w:r w:rsidR="001831A8" w:rsidRPr="003E168A">
        <w:t>e</w:t>
      </w:r>
      <w:r w:rsidRPr="003E168A">
        <w:t xml:space="preserve">n nyugszik: </w:t>
      </w:r>
      <w:r w:rsidR="00C10DB6" w:rsidRPr="003E168A">
        <w:t>s</w:t>
      </w:r>
      <w:r w:rsidRPr="003E168A">
        <w:t xml:space="preserve">zuperpozíciós modellezés, </w:t>
      </w:r>
      <w:proofErr w:type="spellStart"/>
      <w:r w:rsidRPr="003E168A">
        <w:t>dekoherancia</w:t>
      </w:r>
      <w:proofErr w:type="spellEnd"/>
      <w:r w:rsidRPr="003E168A">
        <w:t xml:space="preserve">-szimuláció és bifurkáció-detektálás, melyeket ebben a fejezetben részletesen bemutatok. </w:t>
      </w:r>
      <w:r w:rsidR="00F92913">
        <w:t>Itt és most fontos megjegyezni, hogy a módszertan jövőbeni adatvagyona</w:t>
      </w:r>
      <w:r w:rsidR="00DE26A4">
        <w:t xml:space="preserve"> – csakúgy mint az eddigi kutatásainkban – </w:t>
      </w:r>
      <w:r w:rsidR="00F92913">
        <w:t xml:space="preserve">nyilvánosan elérhető, idősoros adatokon </w:t>
      </w:r>
      <w:r w:rsidR="00F85B49">
        <w:t xml:space="preserve">fog </w:t>
      </w:r>
      <w:r w:rsidR="00F92913">
        <w:t>alap</w:t>
      </w:r>
      <w:r w:rsidR="00F85B49">
        <w:t>ulni</w:t>
      </w:r>
      <w:r w:rsidR="00F92913">
        <w:t xml:space="preserve"> (vö. OECD, Eurostat, KSH, </w:t>
      </w:r>
      <w:proofErr w:type="spellStart"/>
      <w:r w:rsidR="00F92913">
        <w:t>TeIR</w:t>
      </w:r>
      <w:proofErr w:type="spellEnd"/>
      <w:r w:rsidR="00F92913">
        <w:t>).</w:t>
      </w:r>
    </w:p>
    <w:p w14:paraId="22A7EF77" w14:textId="77777777" w:rsidR="00A40917" w:rsidRPr="003E168A" w:rsidRDefault="00A40917" w:rsidP="00A40917">
      <w:pPr>
        <w:pStyle w:val="fejezet2"/>
      </w:pPr>
      <w:bookmarkStart w:id="12" w:name="_Toc212910383"/>
      <w:r w:rsidRPr="003E168A">
        <w:t>Szuperpozíciós modellezés és valószínűségi rendszerállapotok</w:t>
      </w:r>
      <w:bookmarkEnd w:id="12"/>
    </w:p>
    <w:p w14:paraId="463AF87E" w14:textId="2DBA8EF0" w:rsidR="001F72B1" w:rsidRDefault="00C96793" w:rsidP="00A04BC4">
      <w:pPr>
        <w:ind w:firstLine="0"/>
      </w:pPr>
      <w:r>
        <w:t xml:space="preserve">A </w:t>
      </w:r>
      <w:proofErr w:type="spellStart"/>
      <w:r>
        <w:t>bootstrap</w:t>
      </w:r>
      <w:proofErr w:type="spellEnd"/>
      <w:r>
        <w:t>-eljárás</w:t>
      </w:r>
      <w:r w:rsidR="001F72B1">
        <w:t xml:space="preserve">, </w:t>
      </w:r>
      <w:proofErr w:type="spellStart"/>
      <w:r w:rsidRPr="003E168A">
        <w:t>Efron</w:t>
      </w:r>
      <w:proofErr w:type="spellEnd"/>
      <w:r w:rsidRPr="003E168A">
        <w:t xml:space="preserve"> és </w:t>
      </w:r>
      <w:proofErr w:type="spellStart"/>
      <w:r w:rsidRPr="003E168A">
        <w:t>Tibshirani</w:t>
      </w:r>
      <w:proofErr w:type="spellEnd"/>
      <w:r w:rsidRPr="003E168A">
        <w:t xml:space="preserve"> (1993)</w:t>
      </w:r>
      <w:r>
        <w:t xml:space="preserve"> </w:t>
      </w:r>
      <w:r w:rsidR="001F72B1">
        <w:t>módszertana alapján, lehetőség nyílik arra, hogy a COCO Y0 algoritmus által létrehozott homogenitás-indexek ne csak egy pontbecslés formá</w:t>
      </w:r>
      <w:r w:rsidR="00E00351">
        <w:t>j</w:t>
      </w:r>
      <w:r w:rsidR="001F72B1">
        <w:t xml:space="preserve">ában </w:t>
      </w:r>
      <w:r w:rsidR="00E00351">
        <w:t>létezzenek</w:t>
      </w:r>
      <w:r w:rsidR="001F72B1">
        <w:t xml:space="preserve">, hanem </w:t>
      </w:r>
      <w:r w:rsidR="00E00351">
        <w:t xml:space="preserve">ezek a bizonytalanságát is számszerűsítsük. Ehhez a bemeneti Objektum-Attribútum-Mátrixból (vö. ÖAM) többszöri </w:t>
      </w:r>
      <w:proofErr w:type="spellStart"/>
      <w:r w:rsidR="00E00351">
        <w:t>újramintavételezést</w:t>
      </w:r>
      <w:proofErr w:type="spellEnd"/>
      <w:r w:rsidR="00E00351">
        <w:t xml:space="preserve"> végzünk (vö. </w:t>
      </w:r>
      <w:r w:rsidR="00E00351">
        <w:lastRenderedPageBreak/>
        <w:t>alternatív világok építése), melyeken egyesével újra futtatjuk a COCO Y0 algoritmust. Az így</w:t>
      </w:r>
      <w:r w:rsidR="00A824B5">
        <w:t xml:space="preserve"> eredményül</w:t>
      </w:r>
      <w:r w:rsidR="00E00351">
        <w:t xml:space="preserve"> kapott</w:t>
      </w:r>
      <w:r w:rsidR="00A824B5">
        <w:t xml:space="preserve"> </w:t>
      </w:r>
      <w:r w:rsidR="00E00351">
        <w:t>empirikus eloszlás</w:t>
      </w:r>
      <w:r w:rsidR="00A824B5">
        <w:t xml:space="preserve">ok </w:t>
      </w:r>
      <w:r w:rsidR="00E00351">
        <w:t>megmutatják a várható homogenitás szintet</w:t>
      </w:r>
      <w:r w:rsidR="00A824B5">
        <w:t xml:space="preserve">, valamint </w:t>
      </w:r>
      <w:r w:rsidR="00E00351">
        <w:t>a lehetséges</w:t>
      </w:r>
      <w:r w:rsidR="00A824B5">
        <w:t xml:space="preserve"> homogenitás</w:t>
      </w:r>
      <w:r w:rsidR="00E00351">
        <w:t xml:space="preserve"> eltéréseket is egyaránt. </w:t>
      </w:r>
    </w:p>
    <w:p w14:paraId="620591DE" w14:textId="59C4A9E0" w:rsidR="001F72B1" w:rsidRDefault="00A824B5" w:rsidP="00845264">
      <w:r>
        <w:t xml:space="preserve">Az effajta többállapotú, eloszlásalapú felfogás fogalmilag rokonságban áll a kvantummechanikai szuperpozíció módszertanával, mely szerint egy rendszer egyszerre több lehetséges állapotot is képes felvenni. A hasonlóság a tanulmányban leírtakkal azonban pusztán metaforikus, hiszen a </w:t>
      </w:r>
      <w:proofErr w:type="spellStart"/>
      <w:r>
        <w:t>bootstrap</w:t>
      </w:r>
      <w:proofErr w:type="spellEnd"/>
      <w:r>
        <w:t xml:space="preserve"> egy statisztikai eljárás, nem pedig egy kvantumfizikai módszer, ezért nem mutat valós interferenciát vagy összefonódást sem. A Kvantum-inspirált szuperpozíció ebben a tanulmányban tehát csak egy </w:t>
      </w:r>
      <w:proofErr w:type="spellStart"/>
      <w:r>
        <w:t>szemléletbeli</w:t>
      </w:r>
      <w:proofErr w:type="spellEnd"/>
      <w:r>
        <w:t xml:space="preserve"> kölcsönzés, ami az itt modellezett rendszer komplexitását és a nem-determinisztikus fejlődését hivatott hangsúlyozni. </w:t>
      </w:r>
    </w:p>
    <w:p w14:paraId="698281F7" w14:textId="595A01C6" w:rsidR="00914E0E" w:rsidRPr="003E168A" w:rsidRDefault="00A04BC4" w:rsidP="00907742">
      <w:r>
        <w:t>Ezek alapján a COCO Y0 algoritmus minden alternatív mintán végrehajtva egy olyan eloszlást eredményez, mely alapján meghatározhatóvá válik a medián,</w:t>
      </w:r>
      <w:r w:rsidR="00907742">
        <w:t xml:space="preserve"> konfidencia-intervallumok, szélső értékek, valamint az eloszlás szimmetriája vagy torzulása. Így ez a megközelítés lehetővé teszi a homogenitás eddigieknél jóval sokoldalúbb elemzését, különösen a kockázatok és a váratlan döntések hatására kialakult helyzetek tekintetében. Az itt felvázolt módszertan munkafolyamata a következő konkrét lépésekből áll: </w:t>
      </w:r>
    </w:p>
    <w:p w14:paraId="56853963" w14:textId="4224BE27" w:rsidR="00914E0E" w:rsidRPr="003E168A" w:rsidRDefault="00914E0E" w:rsidP="00CE0D1C">
      <w:pPr>
        <w:pStyle w:val="Listaszerbekezds"/>
        <w:numPr>
          <w:ilvl w:val="0"/>
          <w:numId w:val="17"/>
        </w:numPr>
      </w:pPr>
      <w:proofErr w:type="spellStart"/>
      <w:r w:rsidRPr="003E168A">
        <w:t>Bootstrap</w:t>
      </w:r>
      <w:proofErr w:type="spellEnd"/>
      <w:r w:rsidRPr="003E168A">
        <w:t xml:space="preserve">-minták készítése: Az eredeti Objektum-Attribútum-Mátrixból (OAM) 1000 </w:t>
      </w:r>
      <w:proofErr w:type="spellStart"/>
      <w:r w:rsidRPr="003E168A">
        <w:t>bootstrap</w:t>
      </w:r>
      <w:proofErr w:type="spellEnd"/>
      <w:r w:rsidRPr="003E168A">
        <w:t xml:space="preserve">-minta készítése </w:t>
      </w:r>
      <w:proofErr w:type="spellStart"/>
      <w:r w:rsidRPr="003E168A">
        <w:t>újramintavételezéssel</w:t>
      </w:r>
      <w:proofErr w:type="spellEnd"/>
    </w:p>
    <w:p w14:paraId="60E5E460" w14:textId="19E51775" w:rsidR="00914E0E" w:rsidRPr="003E168A" w:rsidRDefault="00914E0E" w:rsidP="00CE0D1C">
      <w:pPr>
        <w:pStyle w:val="Listaszerbekezds"/>
        <w:numPr>
          <w:ilvl w:val="0"/>
          <w:numId w:val="17"/>
        </w:numPr>
      </w:pPr>
      <w:r w:rsidRPr="003E168A">
        <w:t>COCO Y0 futtatása minden</w:t>
      </w:r>
      <w:r w:rsidR="009D1AE2">
        <w:t xml:space="preserve"> alternatív világ</w:t>
      </w:r>
      <w:r w:rsidRPr="003E168A">
        <w:t xml:space="preserve"> mintán: Minden </w:t>
      </w:r>
      <w:proofErr w:type="spellStart"/>
      <w:r w:rsidRPr="003E168A">
        <w:t>bootstrap</w:t>
      </w:r>
      <w:proofErr w:type="spellEnd"/>
      <w:r w:rsidRPr="003E168A">
        <w:t>-mintán a COCO Y0 algoritmus futtatása, amely 1000 különböző homogenitás-értéket eredményez</w:t>
      </w:r>
    </w:p>
    <w:p w14:paraId="6DD973D3" w14:textId="1E9B90E0" w:rsidR="00914E0E" w:rsidRPr="003E168A" w:rsidRDefault="00914E0E" w:rsidP="00CE0D1C">
      <w:pPr>
        <w:pStyle w:val="Listaszerbekezds"/>
        <w:numPr>
          <w:ilvl w:val="0"/>
          <w:numId w:val="17"/>
        </w:numPr>
      </w:pPr>
      <w:r w:rsidRPr="003E168A">
        <w:t xml:space="preserve">Az </w:t>
      </w:r>
      <w:r w:rsidR="009D1AE2">
        <w:t xml:space="preserve">így létrejött </w:t>
      </w:r>
      <w:r w:rsidRPr="003E168A">
        <w:t xml:space="preserve">1000 eredményből empirikus eloszlás </w:t>
      </w:r>
      <w:r w:rsidR="009D1AE2">
        <w:t>kialakítása</w:t>
      </w:r>
    </w:p>
    <w:p w14:paraId="2DD8B292" w14:textId="1425C46A" w:rsidR="00914E0E" w:rsidRPr="003E168A" w:rsidRDefault="009D1AE2" w:rsidP="00CE0D1C">
      <w:pPr>
        <w:pStyle w:val="Listaszerbekezds"/>
        <w:numPr>
          <w:ilvl w:val="0"/>
          <w:numId w:val="17"/>
        </w:numPr>
      </w:pPr>
      <w:r>
        <w:t>Ezután a</w:t>
      </w:r>
      <w:r w:rsidR="00914E0E" w:rsidRPr="003E168A">
        <w:t>z eloszlásból meghatározható</w:t>
      </w:r>
      <w:r>
        <w:t>vá válik</w:t>
      </w:r>
      <w:r w:rsidR="00914E0E" w:rsidRPr="003E168A">
        <w:t>:</w:t>
      </w:r>
    </w:p>
    <w:p w14:paraId="62F96B52" w14:textId="17D69FA0" w:rsidR="00914E0E" w:rsidRPr="003E168A" w:rsidRDefault="00914E0E" w:rsidP="00CE0D1C">
      <w:pPr>
        <w:pStyle w:val="Listaszerbekezds"/>
        <w:numPr>
          <w:ilvl w:val="0"/>
          <w:numId w:val="17"/>
        </w:numPr>
      </w:pPr>
      <w:r w:rsidRPr="003E168A">
        <w:t>A várható érték (medián)</w:t>
      </w:r>
    </w:p>
    <w:p w14:paraId="5E04A3E2" w14:textId="3A73CF18" w:rsidR="00914E0E" w:rsidRPr="003E168A" w:rsidRDefault="00914E0E" w:rsidP="00CE0D1C">
      <w:pPr>
        <w:pStyle w:val="Listaszerbekezds"/>
        <w:numPr>
          <w:ilvl w:val="0"/>
          <w:numId w:val="17"/>
        </w:numPr>
      </w:pPr>
      <w:r w:rsidRPr="003E168A">
        <w:t>A konfidencia-intervallum</w:t>
      </w:r>
    </w:p>
    <w:p w14:paraId="45F51DB9" w14:textId="34D6D7F2" w:rsidR="00914E0E" w:rsidRPr="003E168A" w:rsidRDefault="00914E0E" w:rsidP="00CE0D1C">
      <w:pPr>
        <w:pStyle w:val="Listaszerbekezds"/>
        <w:numPr>
          <w:ilvl w:val="0"/>
          <w:numId w:val="17"/>
        </w:numPr>
      </w:pPr>
      <w:r w:rsidRPr="003E168A">
        <w:t>A szélső értékek (minimum, maximum)</w:t>
      </w:r>
    </w:p>
    <w:p w14:paraId="665E0978" w14:textId="3F48094F" w:rsidR="00327084" w:rsidRDefault="00914E0E" w:rsidP="00CE0D1C">
      <w:pPr>
        <w:pStyle w:val="Listaszerbekezds"/>
        <w:numPr>
          <w:ilvl w:val="0"/>
          <w:numId w:val="17"/>
        </w:numPr>
      </w:pPr>
      <w:r w:rsidRPr="003E168A">
        <w:t xml:space="preserve">Az eloszlás alakja (szimmetrikus </w:t>
      </w:r>
      <w:proofErr w:type="spellStart"/>
      <w:r w:rsidRPr="003E168A">
        <w:t>vs</w:t>
      </w:r>
      <w:proofErr w:type="spellEnd"/>
      <w:r w:rsidRPr="003E168A">
        <w:t>. aszimmetrikus)</w:t>
      </w:r>
      <w:r w:rsidR="00327084" w:rsidRPr="003E168A">
        <w:t xml:space="preserve"> </w:t>
      </w:r>
    </w:p>
    <w:p w14:paraId="62313D8E" w14:textId="375EADAD" w:rsidR="006769C5" w:rsidRPr="003E168A" w:rsidRDefault="009D1AE2" w:rsidP="00CE0D1C">
      <w:r>
        <w:t xml:space="preserve">Fontos </w:t>
      </w:r>
      <w:r w:rsidR="008A0945">
        <w:t>megemlíteni</w:t>
      </w:r>
      <w:r>
        <w:t xml:space="preserve">, hogy az itt felvázolt </w:t>
      </w:r>
      <w:proofErr w:type="spellStart"/>
      <w:r>
        <w:t>bootstrap</w:t>
      </w:r>
      <w:proofErr w:type="spellEnd"/>
      <w:r>
        <w:t>-</w:t>
      </w:r>
      <w:r w:rsidR="006769C5">
        <w:t xml:space="preserve">eljárás </w:t>
      </w:r>
      <w:r w:rsidR="006769C5" w:rsidRPr="006769C5">
        <w:t xml:space="preserve">többszörös végrehajtása jelentős számítási kapacitást igényel, ezért </w:t>
      </w:r>
      <w:r>
        <w:t>abban az esetben, ha valós időben elemezzük az adatokat,</w:t>
      </w:r>
      <w:r w:rsidR="006769C5" w:rsidRPr="006769C5">
        <w:t xml:space="preserve"> GPU-gyorsítás alkalmazás</w:t>
      </w:r>
      <w:r w:rsidR="006769C5">
        <w:t>ára lesz</w:t>
      </w:r>
      <w:r w:rsidR="006769C5" w:rsidRPr="006769C5">
        <w:t xml:space="preserve"> szüksé</w:t>
      </w:r>
      <w:r w:rsidR="006769C5">
        <w:t>g</w:t>
      </w:r>
      <w:r w:rsidR="006769C5" w:rsidRPr="006769C5">
        <w:t xml:space="preserve"> a párhuzamos mintavételezéshez és az eloszlások gyors előállításához (</w:t>
      </w:r>
      <w:proofErr w:type="spellStart"/>
      <w:r w:rsidR="006769C5" w:rsidRPr="006769C5">
        <w:t>Biamonte</w:t>
      </w:r>
      <w:proofErr w:type="spellEnd"/>
      <w:r w:rsidR="006769C5" w:rsidRPr="006769C5">
        <w:t xml:space="preserve">, </w:t>
      </w:r>
      <w:proofErr w:type="spellStart"/>
      <w:r w:rsidR="006769C5" w:rsidRPr="006769C5">
        <w:t>Schuld</w:t>
      </w:r>
      <w:proofErr w:type="spellEnd"/>
      <w:r w:rsidR="006769C5" w:rsidRPr="006769C5">
        <w:t xml:space="preserve"> &amp; Lloyd, 2017).</w:t>
      </w:r>
      <w:r w:rsidR="007F0D31">
        <w:t xml:space="preserve"> Egy 1000 </w:t>
      </w:r>
      <w:proofErr w:type="spellStart"/>
      <w:r w:rsidR="007F0D31">
        <w:t>bootstrap</w:t>
      </w:r>
      <w:proofErr w:type="spellEnd"/>
      <w:r w:rsidR="007F0D31">
        <w:t xml:space="preserve">-mintás szimuláció a fent említett </w:t>
      </w:r>
      <w:r w:rsidR="00601661">
        <w:t>GPU</w:t>
      </w:r>
      <w:r w:rsidR="007F0D31">
        <w:t xml:space="preserve"> használatával kb. 5-10 percet vesz igénybe, míg ugyanez egy hagyományos </w:t>
      </w:r>
      <w:r w:rsidR="007F0D31">
        <w:lastRenderedPageBreak/>
        <w:t>CPU-val 1-2 óra lenne.</w:t>
      </w:r>
      <w:r>
        <w:t xml:space="preserve"> Ezért javasolt a nagy kapacitással bíró számítástechnikai eszközök beszerzése.</w:t>
      </w:r>
    </w:p>
    <w:p w14:paraId="1B02FD2F" w14:textId="1BAA1FB1" w:rsidR="00A40917" w:rsidRPr="003E168A" w:rsidRDefault="00A40917" w:rsidP="00A40917">
      <w:pPr>
        <w:pStyle w:val="fejezet2"/>
      </w:pPr>
      <w:bookmarkStart w:id="13" w:name="_Toc212910384"/>
      <w:proofErr w:type="spellStart"/>
      <w:r w:rsidRPr="003E168A">
        <w:t>Dekoherencia</w:t>
      </w:r>
      <w:proofErr w:type="spellEnd"/>
      <w:r w:rsidRPr="003E168A">
        <w:t>-szimuláció</w:t>
      </w:r>
      <w:bookmarkEnd w:id="13"/>
    </w:p>
    <w:p w14:paraId="1C45BA6A" w14:textId="624C2F6D" w:rsidR="00371FAD" w:rsidRDefault="00474C87" w:rsidP="00CE0D1C">
      <w:r w:rsidRPr="003E168A">
        <w:t xml:space="preserve">A </w:t>
      </w:r>
      <w:proofErr w:type="spellStart"/>
      <w:r w:rsidRPr="003E168A">
        <w:t>dekoherencia</w:t>
      </w:r>
      <w:proofErr w:type="spellEnd"/>
      <w:r w:rsidRPr="003E168A">
        <w:t>-szimuláció</w:t>
      </w:r>
      <w:r w:rsidR="00371FAD">
        <w:t xml:space="preserve"> </w:t>
      </w:r>
      <w:r w:rsidRPr="003E168A">
        <w:t>a</w:t>
      </w:r>
      <w:r w:rsidR="00371FAD">
        <w:t xml:space="preserve"> homogenitás mérés </w:t>
      </w:r>
      <w:r w:rsidR="00907742">
        <w:t>értelmében</w:t>
      </w:r>
      <w:r w:rsidR="00371FAD">
        <w:t xml:space="preserve"> azt mutatja meg</w:t>
      </w:r>
      <w:r w:rsidRPr="003E168A">
        <w:t>,</w:t>
      </w:r>
      <w:r w:rsidR="00371FAD">
        <w:t xml:space="preserve"> hogy</w:t>
      </w:r>
      <w:r w:rsidRPr="003E168A">
        <w:t xml:space="preserve"> </w:t>
      </w:r>
      <w:r w:rsidR="00371FAD">
        <w:t xml:space="preserve">a </w:t>
      </w:r>
      <w:r w:rsidR="00371FAD" w:rsidRPr="003E168A">
        <w:t xml:space="preserve">válságok </w:t>
      </w:r>
      <w:r w:rsidR="00371FAD">
        <w:t xml:space="preserve">vagy a politikai döntések </w:t>
      </w:r>
      <w:r w:rsidR="00371FAD" w:rsidRPr="003E168A">
        <w:t xml:space="preserve">hatására </w:t>
      </w:r>
      <w:r w:rsidRPr="003E168A">
        <w:t xml:space="preserve">hogyan bomlanak fel </w:t>
      </w:r>
      <w:r w:rsidR="00371FAD">
        <w:t xml:space="preserve">az eddigi </w:t>
      </w:r>
      <w:r w:rsidRPr="003E168A">
        <w:t>egységes gazdasági állapotok</w:t>
      </w:r>
      <w:r w:rsidR="00371FAD">
        <w:t xml:space="preserve">. Ennek segítségével megvizsgálhatjuk tehát, hogy a különböző erősségű válságforgatókönyvek miként hatnak a regionális vagy az országok közötti kohézióra. </w:t>
      </w:r>
    </w:p>
    <w:p w14:paraId="2BE99BAC" w14:textId="460198D0" w:rsidR="00474C87" w:rsidRPr="003E168A" w:rsidRDefault="00474C87" w:rsidP="00CE0D1C">
      <w:proofErr w:type="spellStart"/>
      <w:r w:rsidRPr="003E168A">
        <w:t>Scheffer</w:t>
      </w:r>
      <w:proofErr w:type="spellEnd"/>
      <w:r w:rsidRPr="003E168A">
        <w:t xml:space="preserve"> (2009) kutatás</w:t>
      </w:r>
      <w:r w:rsidR="00371FAD">
        <w:t>ában rámutatott arra</w:t>
      </w:r>
      <w:r w:rsidRPr="003E168A">
        <w:t xml:space="preserve">, hogy </w:t>
      </w:r>
      <w:r w:rsidR="00371FAD">
        <w:t xml:space="preserve">a </w:t>
      </w:r>
      <w:r w:rsidRPr="003E168A">
        <w:t>komplex rendszerekben a fokozatos</w:t>
      </w:r>
      <w:r w:rsidR="00371FAD">
        <w:t>, lassú</w:t>
      </w:r>
      <w:r w:rsidRPr="003E168A">
        <w:t xml:space="preserve"> környezeti változások hirtelen, katasztrofális átmeneteket válthatnak ki egy kritikus ponton túl. </w:t>
      </w:r>
      <w:proofErr w:type="spellStart"/>
      <w:r w:rsidRPr="003E168A">
        <w:t>Barro</w:t>
      </w:r>
      <w:proofErr w:type="spellEnd"/>
      <w:r w:rsidRPr="003E168A">
        <w:t xml:space="preserve"> és </w:t>
      </w:r>
      <w:proofErr w:type="spellStart"/>
      <w:r w:rsidRPr="003E168A">
        <w:t>Sala</w:t>
      </w:r>
      <w:proofErr w:type="spellEnd"/>
      <w:r w:rsidRPr="003E168A">
        <w:t xml:space="preserve">-i-Martin (1991, 1992) neoklasszikus konvergenciaelmélete </w:t>
      </w:r>
      <w:r w:rsidR="00907742">
        <w:t>pedig</w:t>
      </w:r>
      <w:r w:rsidRPr="003E168A">
        <w:t xml:space="preserve"> rámutat</w:t>
      </w:r>
      <w:r w:rsidR="00371FAD">
        <w:t>ott</w:t>
      </w:r>
      <w:r w:rsidRPr="003E168A">
        <w:t xml:space="preserve"> arra, hogy a gazdasági rendszerek viselkedése az egyensúly közelében nemlineárisan változhat, azaz a kis változások váratlanul nagy hatásokat okozhatnak. </w:t>
      </w:r>
      <w:proofErr w:type="spellStart"/>
      <w:r w:rsidRPr="003E168A">
        <w:t>Orrell</w:t>
      </w:r>
      <w:proofErr w:type="spellEnd"/>
      <w:r w:rsidRPr="003E168A">
        <w:t xml:space="preserve"> (2018) szerint pedig a </w:t>
      </w:r>
      <w:r w:rsidR="007F0D31">
        <w:t>kvantum-valószínűségi megközelítés módszertana különösen hasznos lehet a pénzügyi válságok modellezésében, ahol a hagyományos egyensúlyi feltételezések nem állják meg a helyüket</w:t>
      </w:r>
      <w:r w:rsidRPr="003E168A">
        <w:t xml:space="preserve">. </w:t>
      </w:r>
      <w:proofErr w:type="spellStart"/>
      <w:r w:rsidRPr="003E168A">
        <w:t>Ampudia</w:t>
      </w:r>
      <w:proofErr w:type="spellEnd"/>
      <w:r w:rsidRPr="003E168A">
        <w:t xml:space="preserve"> és munkatársai (20</w:t>
      </w:r>
      <w:r w:rsidR="00477EBB">
        <w:t>18</w:t>
      </w:r>
      <w:r w:rsidRPr="003E168A">
        <w:t>) az infláció elemzésében kimutatták, hogy a monetáris politika hatása</w:t>
      </w:r>
      <w:r w:rsidR="00BA015B">
        <w:t>i</w:t>
      </w:r>
      <w:r w:rsidRPr="003E168A">
        <w:t xml:space="preserve"> nem egységes</w:t>
      </w:r>
      <w:r w:rsidR="00BA015B">
        <w:t xml:space="preserve"> minden országban</w:t>
      </w:r>
      <w:r w:rsidRPr="003E168A">
        <w:t>, hanem a jövedelmi csoportok mentén eltérően jelentkezik, ami szintén alátámasztja a többállapotú, valószínűségi modellek szükségességét</w:t>
      </w:r>
      <w:r w:rsidR="005B002F">
        <w:t xml:space="preserve"> a gazdaságban</w:t>
      </w:r>
      <w:r w:rsidRPr="003E168A">
        <w:t>.</w:t>
      </w:r>
    </w:p>
    <w:p w14:paraId="0A44BDA5" w14:textId="05AAD94A" w:rsidR="00972FAC" w:rsidRPr="00972FAC" w:rsidRDefault="00972FAC" w:rsidP="00CE0D1C">
      <w:r w:rsidRPr="00972FAC">
        <w:t>Ezen kutatások eredményei arra engednek következtetni, hogy a társadalmi-gazdasági rendszerek viselkedése alapvetően kvantum-jellegű</w:t>
      </w:r>
      <w:r w:rsidR="00A15B0D">
        <w:t>ek</w:t>
      </w:r>
      <w:r w:rsidRPr="00972FAC">
        <w:t xml:space="preserve">, azaz nem lineárisan fejlődnek, hanem többállapotú rendszerként működnek, ahol a külső sokkok </w:t>
      </w:r>
      <w:r w:rsidR="006A2215">
        <w:t xml:space="preserve">a belső homogenitás megváltozását idézik elő. </w:t>
      </w:r>
      <w:r w:rsidRPr="00972FAC">
        <w:t>Különösen jó példa erre a 2022-ben kialakult energiaválság: 2021 elején az eurozóna országai között az inflációs ráták még csak egy-két százalékponttal tértek el egymástól, ami viszonylag egységes gazdasági helyzetet jelzett, azonban 2022 végére ez az eltérés már tíz százalékpontra nőtt, vagyis az eurozóna gazdasági kohéziója jelentősen megbomlott. Ez az átmenet nem volt előre jelezhető a hagyományos lineáris modellekkel</w:t>
      </w:r>
      <w:r w:rsidR="00907742">
        <w:t xml:space="preserve">, ami </w:t>
      </w:r>
      <w:r w:rsidRPr="00972FAC">
        <w:t xml:space="preserve">igazolja, </w:t>
      </w:r>
      <w:r w:rsidR="00907742">
        <w:t xml:space="preserve">hogy </w:t>
      </w:r>
      <w:r w:rsidRPr="00972FAC">
        <w:t>a kvantum-inspirált megközelítés</w:t>
      </w:r>
      <w:r>
        <w:t xml:space="preserve"> valósághű</w:t>
      </w:r>
      <w:r w:rsidRPr="00972FAC">
        <w:t xml:space="preserve"> elméleti keretet nyújt</w:t>
      </w:r>
      <w:r>
        <w:t>hat</w:t>
      </w:r>
      <w:r w:rsidRPr="00972FAC">
        <w:t xml:space="preserve"> a jövőbeli korai </w:t>
      </w:r>
      <w:r>
        <w:t>észlelési</w:t>
      </w:r>
      <w:r w:rsidRPr="00972FAC">
        <w:t xml:space="preserve"> rendszerek fejlesztéséhe</w:t>
      </w:r>
      <w:r w:rsidR="00907742">
        <w:t xml:space="preserve">z, </w:t>
      </w:r>
      <w:r w:rsidR="001F4433">
        <w:t>melyekhez</w:t>
      </w:r>
      <w:r w:rsidR="00907742">
        <w:t xml:space="preserve"> a </w:t>
      </w:r>
      <w:proofErr w:type="spellStart"/>
      <w:r w:rsidR="00907742">
        <w:t>dekoherancia</w:t>
      </w:r>
      <w:proofErr w:type="spellEnd"/>
      <w:r w:rsidR="00907742">
        <w:t xml:space="preserve"> </w:t>
      </w:r>
      <w:r w:rsidR="001F4433">
        <w:t>szimulációja elengedhetetlen</w:t>
      </w:r>
      <w:r w:rsidRPr="00972FAC">
        <w:t>.</w:t>
      </w:r>
    </w:p>
    <w:p w14:paraId="10943F5E" w14:textId="4746D093" w:rsidR="00A40917" w:rsidRPr="003E168A" w:rsidRDefault="00A40917" w:rsidP="00972FAC">
      <w:pPr>
        <w:pStyle w:val="fejezet2"/>
      </w:pPr>
      <w:bookmarkStart w:id="14" w:name="_Toc212910385"/>
      <w:r w:rsidRPr="003E168A">
        <w:t>Bifurkáció-detektálás</w:t>
      </w:r>
      <w:bookmarkEnd w:id="14"/>
    </w:p>
    <w:p w14:paraId="1176A614" w14:textId="05C9EB80" w:rsidR="00A76D80" w:rsidRDefault="00A76D80" w:rsidP="00CE0D1C">
      <w:r w:rsidRPr="00A76D80">
        <w:t xml:space="preserve">A </w:t>
      </w:r>
      <w:r w:rsidR="00747F9E">
        <w:t>tanulmány</w:t>
      </w:r>
      <w:r w:rsidRPr="00A76D80">
        <w:t xml:space="preserve"> egyik kiemelt célja</w:t>
      </w:r>
      <w:r>
        <w:t xml:space="preserve"> egy</w:t>
      </w:r>
      <w:r w:rsidRPr="00A76D80">
        <w:t xml:space="preserve"> olyan automatizált</w:t>
      </w:r>
      <w:r>
        <w:t xml:space="preserve"> és adat vezérelt</w:t>
      </w:r>
      <w:r w:rsidRPr="00A76D80">
        <w:t xml:space="preserve"> módsze</w:t>
      </w:r>
      <w:r>
        <w:t>r</w:t>
      </w:r>
      <w:r w:rsidRPr="00A76D80">
        <w:t xml:space="preserve"> kidolgozása, amely felismer</w:t>
      </w:r>
      <w:r>
        <w:t>i</w:t>
      </w:r>
      <w:r w:rsidRPr="00A76D80">
        <w:t xml:space="preserve"> a kritikus töréspontokat, mielőtt azok bekövetkeznének. </w:t>
      </w:r>
      <w:proofErr w:type="spellStart"/>
      <w:r w:rsidRPr="00A76D80">
        <w:t>Kuehn</w:t>
      </w:r>
      <w:proofErr w:type="spellEnd"/>
      <w:r w:rsidRPr="00A76D80">
        <w:t xml:space="preserve"> (2011) matematikai elemzése kimutatta, hogy amikor egy rendszer egy kritikus pont közelébe ér,</w:t>
      </w:r>
      <w:r>
        <w:t xml:space="preserve"> a vizsgált változók (</w:t>
      </w:r>
      <w:r w:rsidR="008C5F62">
        <w:t>vö.</w:t>
      </w:r>
      <w:r>
        <w:t xml:space="preserve"> inflációs ráták, banki hitelállományok) ingadozása megnövekszik, az adatok közötti összefüggések erőssége fokozódik, valamint a külső sokkok után a rendszer </w:t>
      </w:r>
      <w:r>
        <w:lastRenderedPageBreak/>
        <w:t>lassabban tér vissza korábbi állapotába.</w:t>
      </w:r>
      <w:r w:rsidR="00963136">
        <w:t xml:space="preserve"> </w:t>
      </w:r>
      <w:proofErr w:type="spellStart"/>
      <w:r w:rsidRPr="00A76D80">
        <w:t>Dakos</w:t>
      </w:r>
      <w:proofErr w:type="spellEnd"/>
      <w:r w:rsidRPr="00A76D80">
        <w:t xml:space="preserve"> és munkatársai (2016) különböző rendszerekben tesztelték </w:t>
      </w:r>
      <w:proofErr w:type="spellStart"/>
      <w:r w:rsidR="008C5F62">
        <w:t>Kuehn</w:t>
      </w:r>
      <w:proofErr w:type="spellEnd"/>
      <w:r w:rsidR="008C5F62">
        <w:t xml:space="preserve"> által felvázolt jelzések megbízhatóságát, és</w:t>
      </w:r>
      <w:r w:rsidRPr="00A76D80">
        <w:t xml:space="preserve"> </w:t>
      </w:r>
      <w:r w:rsidR="008C5F62">
        <w:t>m</w:t>
      </w:r>
      <w:r w:rsidRPr="00A76D80">
        <w:t>egállapították, hogy a külső változások sebessége</w:t>
      </w:r>
      <w:r w:rsidR="008C5F62">
        <w:t xml:space="preserve"> is</w:t>
      </w:r>
      <w:r w:rsidRPr="00A76D80">
        <w:t xml:space="preserve"> jelentősen befolyásolja,</w:t>
      </w:r>
      <w:r w:rsidR="008C5F62">
        <w:t xml:space="preserve"> a kritikus pontok előrejelzésének pontosságát</w:t>
      </w:r>
      <w:r w:rsidRPr="00A76D80">
        <w:t xml:space="preserve">. </w:t>
      </w:r>
      <w:proofErr w:type="spellStart"/>
      <w:r w:rsidRPr="00A76D80">
        <w:t>Scheffer</w:t>
      </w:r>
      <w:proofErr w:type="spellEnd"/>
      <w:r w:rsidRPr="00A76D80">
        <w:t xml:space="preserve"> és munkatársai (2009) pedig azt mutatták ki, hogy </w:t>
      </w:r>
      <w:r w:rsidR="008C5F62" w:rsidRPr="00A76D80">
        <w:t>a válságok közeledtével</w:t>
      </w:r>
      <w:r w:rsidR="001F4433">
        <w:t xml:space="preserve"> </w:t>
      </w:r>
      <w:r w:rsidR="001F4433" w:rsidRPr="00A76D80">
        <w:t>szinte minden komplex rendszerben</w:t>
      </w:r>
      <w:r w:rsidR="008C5F62" w:rsidRPr="00A76D80">
        <w:t xml:space="preserve"> </w:t>
      </w:r>
      <w:r w:rsidRPr="00A76D80">
        <w:t>három fő figyelmeztető jel figyelhető meg: növekvő ingadozás, erősödő korreláció az adatok között, és lassabb helyreállás a zavarok után. Jó példa erre a 2008-as pénzügyi válság, amikor az európai bankszektor adatainak ingadozása már 2006 és 2007 között jelentősen megnövekedett, ami előre jelezte a közelgő válságot. Sajnos ez</w:t>
      </w:r>
      <w:r w:rsidR="001F4433">
        <w:t>eket</w:t>
      </w:r>
      <w:r w:rsidRPr="00A76D80">
        <w:t xml:space="preserve"> a figyelmeztető jele</w:t>
      </w:r>
      <w:r w:rsidR="001F4433">
        <w:t>ket</w:t>
      </w:r>
      <w:r w:rsidRPr="00A76D80">
        <w:t xml:space="preserve"> akkoriban nem vették figyelembe a döntéshozók (</w:t>
      </w:r>
      <w:proofErr w:type="spellStart"/>
      <w:r w:rsidRPr="00A76D80">
        <w:t>Atkinson</w:t>
      </w:r>
      <w:proofErr w:type="spellEnd"/>
      <w:r w:rsidRPr="00A76D80">
        <w:t xml:space="preserve"> &amp; </w:t>
      </w:r>
      <w:proofErr w:type="spellStart"/>
      <w:r w:rsidRPr="00A76D80">
        <w:t>Morelli</w:t>
      </w:r>
      <w:proofErr w:type="spellEnd"/>
      <w:r w:rsidRPr="00A76D80">
        <w:t>, 2015).</w:t>
      </w:r>
    </w:p>
    <w:p w14:paraId="04FC5D5D" w14:textId="1F013479" w:rsidR="00D16E1A" w:rsidRDefault="00D16E1A" w:rsidP="00CE0D1C">
      <w:r>
        <w:t>Az</w:t>
      </w:r>
      <w:r w:rsidRPr="00D16E1A">
        <w:t xml:space="preserve"> eurozóna HICP inflációs homogenitásának esetében </w:t>
      </w:r>
      <w:r>
        <w:t xml:space="preserve">ezt a </w:t>
      </w:r>
      <w:r w:rsidRPr="00D16E1A">
        <w:t>módszer</w:t>
      </w:r>
      <w:r>
        <w:t>t</w:t>
      </w:r>
      <w:r w:rsidRPr="00D16E1A">
        <w:t xml:space="preserve"> úgy</w:t>
      </w:r>
      <w:r>
        <w:t xml:space="preserve"> lehetne megvalósítani</w:t>
      </w:r>
      <w:r w:rsidR="00963136">
        <w:t xml:space="preserve"> például</w:t>
      </w:r>
      <w:r w:rsidRPr="00D16E1A">
        <w:t xml:space="preserve">, hogy a </w:t>
      </w:r>
      <w:proofErr w:type="spellStart"/>
      <w:r w:rsidRPr="00D16E1A">
        <w:t>bootstrap-ból</w:t>
      </w:r>
      <w:proofErr w:type="spellEnd"/>
      <w:r w:rsidRPr="00D16E1A">
        <w:t xml:space="preserve"> származó homogenitás-eloszlások idősoraira </w:t>
      </w:r>
      <w:r w:rsidR="00963136">
        <w:t>mozgó</w:t>
      </w:r>
      <w:r w:rsidRPr="00D16E1A">
        <w:t xml:space="preserve"> ablakkal kiszámítjuk a </w:t>
      </w:r>
      <w:proofErr w:type="spellStart"/>
      <w:r w:rsidRPr="00D16E1A">
        <w:t>Scheffer</w:t>
      </w:r>
      <w:proofErr w:type="spellEnd"/>
      <w:r w:rsidRPr="00D16E1A">
        <w:t>-indikátorokat (</w:t>
      </w:r>
      <w:r w:rsidR="00963136">
        <w:t xml:space="preserve">vö. </w:t>
      </w:r>
      <w:r w:rsidRPr="00D16E1A">
        <w:t xml:space="preserve">variancia, </w:t>
      </w:r>
      <w:proofErr w:type="spellStart"/>
      <w:r w:rsidRPr="00D16E1A">
        <w:t>autokorreláció</w:t>
      </w:r>
      <w:proofErr w:type="spellEnd"/>
      <w:r w:rsidRPr="00D16E1A">
        <w:t xml:space="preserve">, helyreállási idő), majd statisztikai </w:t>
      </w:r>
      <w:r>
        <w:t>vizsgálatokkal</w:t>
      </w:r>
      <w:r w:rsidRPr="00D16E1A">
        <w:t xml:space="preserve"> azonosítjuk azokat az időszakokat, amikor ezek szignifikánsan növekednek.</w:t>
      </w:r>
      <w:r>
        <w:t xml:space="preserve"> V</w:t>
      </w:r>
      <w:r w:rsidRPr="00D16E1A">
        <w:t>alidációként a 2021-2022-es energiaválság előtti adatok vizsgálata szolgál</w:t>
      </w:r>
      <w:r>
        <w:t>na</w:t>
      </w:r>
      <w:r w:rsidRPr="00D16E1A">
        <w:t>, amely igazolhatja</w:t>
      </w:r>
      <w:r>
        <w:t xml:space="preserve"> vagy cáfolhatja a módszer gyakorlati működését.</w:t>
      </w:r>
      <w:r w:rsidRPr="00D16E1A">
        <w:t xml:space="preserve"> </w:t>
      </w:r>
    </w:p>
    <w:p w14:paraId="2245CCD5" w14:textId="6555A746" w:rsidR="008D408A" w:rsidRDefault="008D408A" w:rsidP="008A0AE9">
      <w:pPr>
        <w:pStyle w:val="fejezet2"/>
      </w:pPr>
      <w:bookmarkStart w:id="15" w:name="_Toc212910386"/>
      <w:r>
        <w:t>Az önvezető rendszerek és a kvantum-inspirált homogenitás modellezés kapcsolata</w:t>
      </w:r>
      <w:bookmarkEnd w:id="15"/>
    </w:p>
    <w:p w14:paraId="534B3198" w14:textId="41BCA3A2" w:rsidR="008D408A" w:rsidRDefault="008D408A" w:rsidP="008A0AE9">
      <w:pPr>
        <w:ind w:firstLine="0"/>
      </w:pPr>
      <w:r>
        <w:t>Az önvezető autonóm járművek döntési rendszereinek működése kiváló példát nyújtanak az általam elképzelt kvantum-inspirált társadalmi-gazdasági modellek működésének megértéséhez, hiszen ezek éppen olyan összetett és bizonytalan környezetben „dolgoznak” mint</w:t>
      </w:r>
      <w:r w:rsidR="001F4433">
        <w:t xml:space="preserve"> amilyen</w:t>
      </w:r>
      <w:r>
        <w:t xml:space="preserve"> a legtöbb gazdasági környezet, ahol az összes lehetséges kimenetel előre nem ismert. </w:t>
      </w:r>
      <w:proofErr w:type="spellStart"/>
      <w:r w:rsidRPr="008D408A">
        <w:t>Baum</w:t>
      </w:r>
      <w:proofErr w:type="spellEnd"/>
      <w:r w:rsidRPr="008D408A">
        <w:t xml:space="preserve">, </w:t>
      </w:r>
      <w:proofErr w:type="spellStart"/>
      <w:r w:rsidRPr="008D408A">
        <w:t>Gokhale</w:t>
      </w:r>
      <w:proofErr w:type="spellEnd"/>
      <w:r w:rsidRPr="008D408A">
        <w:t xml:space="preserve"> és </w:t>
      </w:r>
      <w:proofErr w:type="spellStart"/>
      <w:r w:rsidRPr="008D408A">
        <w:t>Pistoia</w:t>
      </w:r>
      <w:proofErr w:type="spellEnd"/>
      <w:r w:rsidRPr="008D408A">
        <w:t xml:space="preserve"> (2019)</w:t>
      </w:r>
      <w:r>
        <w:t xml:space="preserve"> </w:t>
      </w:r>
      <w:r w:rsidR="00A0381F">
        <w:t>munkájukban bemutatják, hogy ezek a mai modern rendszerek nem egyetlen optimális útvonalon mozognak, hanem valós időben dolgoznak fel több lehetséges jövőbeli útvonalat.</w:t>
      </w:r>
      <w:r w:rsidR="00762412">
        <w:t xml:space="preserve"> </w:t>
      </w:r>
      <w:r w:rsidR="00A0381F">
        <w:t xml:space="preserve">Ezek a rendszerek folyamatosan kezelik a bizonytalan helyzeteket (kamera, radar és szenzor adatok segítségével), valós időben párhuzamosan vizsgálják a lehetséges forgatókönyveket (vö. a gyalogos balra fordul, jobbra fordul vagy megáll), és a bekövetkezés valószínűségére támaszkodva hozza meg a döntéseket (például 85% az esély arra, hogy a gyalogos megáll), mindezt rendkívüli gyorsasággal a GPU gyorsításnak köszönhetően. </w:t>
      </w:r>
      <w:r w:rsidR="00762412" w:rsidRPr="00762412">
        <w:t>Habár e módszerek nem explicit kvantum-inspiráltak</w:t>
      </w:r>
      <w:r w:rsidR="00762412">
        <w:t xml:space="preserve">, </w:t>
      </w:r>
      <w:r w:rsidR="001F4433">
        <w:t xml:space="preserve">az </w:t>
      </w:r>
      <w:r w:rsidR="00A541D1">
        <w:t>előzőekben felsorolt tulajdonságok</w:t>
      </w:r>
      <w:r w:rsidR="001F4433">
        <w:t xml:space="preserve"> mégis</w:t>
      </w:r>
      <w:r w:rsidR="00A541D1">
        <w:t xml:space="preserve"> szoros kapcsolatban állnak a kvantum-inspirált homogenitás modellezés szuperpozíciós megközelítésével, mely szerint egy régió, ország vagy város jövőben fejlődési pályája nem egyetlen pályán mozoghat, hanem több egyidejűleg létező jövőbeni fejlődési környezetben mozog, melyben az automatizált </w:t>
      </w:r>
      <w:proofErr w:type="spellStart"/>
      <w:r w:rsidR="00A541D1">
        <w:t>Scheffer</w:t>
      </w:r>
      <w:proofErr w:type="spellEnd"/>
      <w:r w:rsidR="00A541D1">
        <w:t xml:space="preserve">-indikátorok </w:t>
      </w:r>
      <w:proofErr w:type="spellStart"/>
      <w:r w:rsidR="00DE7CD2">
        <w:t>monitorizálása</w:t>
      </w:r>
      <w:proofErr w:type="spellEnd"/>
      <w:r w:rsidR="00A541D1">
        <w:t xml:space="preserve"> </w:t>
      </w:r>
      <w:r w:rsidR="00DE7CD2">
        <w:t xml:space="preserve">lehetőséget biztosít a váratlan események (válságok) valós idejű felderítésére. </w:t>
      </w:r>
    </w:p>
    <w:p w14:paraId="103C9B59" w14:textId="2E1DE6A5" w:rsidR="008D408A" w:rsidRDefault="00DE7CD2" w:rsidP="008A0AE9">
      <w:r>
        <w:lastRenderedPageBreak/>
        <w:t xml:space="preserve">Az önvezető autókban </w:t>
      </w:r>
      <w:proofErr w:type="spellStart"/>
      <w:r>
        <w:t>dekoherancia</w:t>
      </w:r>
      <w:proofErr w:type="spellEnd"/>
      <w:r>
        <w:t xml:space="preserve"> állapot akkor következik be, amikor egy koherens (vö. biztonságos) állapot váratlan külső hatások hatására szétesik, és </w:t>
      </w:r>
      <w:r w:rsidR="001F4433">
        <w:t>ennek következtében</w:t>
      </w:r>
      <w:r>
        <w:t xml:space="preserve"> az autó </w:t>
      </w:r>
      <w:r w:rsidR="001F4433">
        <w:t xml:space="preserve">a probléma megoldásához </w:t>
      </w:r>
      <w:r>
        <w:t>kénytelen egy új kezelési módra váltani. Ez</w:t>
      </w:r>
      <w:r w:rsidR="001F4433">
        <w:t xml:space="preserve"> a szcenárió</w:t>
      </w:r>
      <w:r>
        <w:t xml:space="preserve"> gazdasági </w:t>
      </w:r>
      <w:r w:rsidR="001F4433">
        <w:t>szempontból</w:t>
      </w:r>
      <w:r>
        <w:t xml:space="preserve"> megfelel a 2022-es inflációs válság környezetének, ahol 2021 végéig viszonylag stabil volt az EU-s infláció, de 2022-ben az energiasokk hatására ez a koherencia szétesett és az egyes országok inflációs pályái radikálisan eltértek egymástól (vö. akár 10%-os eltérések).</w:t>
      </w:r>
      <w:r w:rsidR="008A0AE9">
        <w:t xml:space="preserve"> Éppen ezért az automatizált </w:t>
      </w:r>
      <w:proofErr w:type="spellStart"/>
      <w:r w:rsidR="008A0AE9">
        <w:t>dekoherancia</w:t>
      </w:r>
      <w:proofErr w:type="spellEnd"/>
      <w:r w:rsidR="008A0AE9">
        <w:t xml:space="preserve"> figyelés fontos aspektusa a válságkezelésnek</w:t>
      </w:r>
      <w:r w:rsidR="006D02E3">
        <w:t xml:space="preserve"> is</w:t>
      </w:r>
      <w:r w:rsidR="008A0AE9">
        <w:t xml:space="preserve">.  </w:t>
      </w:r>
      <w:r>
        <w:t xml:space="preserve"> </w:t>
      </w:r>
    </w:p>
    <w:p w14:paraId="13986B7B" w14:textId="42791EE7" w:rsidR="00A40917" w:rsidRPr="003E168A" w:rsidRDefault="00A40917" w:rsidP="00A76D80">
      <w:pPr>
        <w:pStyle w:val="fejezet1"/>
        <w:rPr>
          <w:lang w:val="hu-HU"/>
        </w:rPr>
      </w:pPr>
      <w:bookmarkStart w:id="16" w:name="_Toc212910387"/>
      <w:r w:rsidRPr="003E168A">
        <w:rPr>
          <w:lang w:val="hu-HU"/>
        </w:rPr>
        <w:t xml:space="preserve">A modell előnyei és </w:t>
      </w:r>
      <w:r w:rsidR="00D31817">
        <w:rPr>
          <w:lang w:val="hu-HU"/>
        </w:rPr>
        <w:t xml:space="preserve">gyakorlati </w:t>
      </w:r>
      <w:r w:rsidRPr="003E168A">
        <w:rPr>
          <w:lang w:val="hu-HU"/>
        </w:rPr>
        <w:t>alkalmazhatósága</w:t>
      </w:r>
      <w:bookmarkEnd w:id="16"/>
    </w:p>
    <w:p w14:paraId="57B3D361" w14:textId="13E3AA52" w:rsidR="00B57DD9" w:rsidRDefault="00B57DD9" w:rsidP="00CE0D1C">
      <w:r>
        <w:t xml:space="preserve">A kvantum-inspirált homogenitás modellek egyik legnagyobb előnye, hogy valószínűségi eloszlásokkal dolgozik, a hagyományos pontértékű modellekkel szemben. Így az egyetlen „legjobb becslés” értéke helyett a kvantum-inspirált megközelítés teljes szcenárió-térképet mutat, ami robosztus és időben gyors kockázatkezelést </w:t>
      </w:r>
      <w:r w:rsidR="001F4433">
        <w:t>eredményez</w:t>
      </w:r>
      <w:r>
        <w:t xml:space="preserve">. </w:t>
      </w:r>
    </w:p>
    <w:p w14:paraId="0E7C1830" w14:textId="77FC76DF" w:rsidR="00B57DD9" w:rsidRDefault="00B57DD9" w:rsidP="002F05AA">
      <w:pPr>
        <w:pStyle w:val="fejezet2"/>
      </w:pPr>
      <w:bookmarkStart w:id="17" w:name="_Toc212910388"/>
      <w:r>
        <w:t xml:space="preserve">Korai válságjelző </w:t>
      </w:r>
      <w:r w:rsidR="002F05AA">
        <w:t>rendszerek</w:t>
      </w:r>
      <w:bookmarkEnd w:id="17"/>
    </w:p>
    <w:p w14:paraId="38AFAEF7" w14:textId="3EE65400" w:rsidR="00B57DD9" w:rsidRDefault="00B57DD9" w:rsidP="005D2AF3">
      <w:r>
        <w:t xml:space="preserve">A </w:t>
      </w:r>
      <w:proofErr w:type="spellStart"/>
      <w:r>
        <w:t>Scheffer</w:t>
      </w:r>
      <w:proofErr w:type="spellEnd"/>
      <w:r>
        <w:t>-indikátorok (vö. variancia, autókorreláció, helyreállás) automatizált monitorozásával körülbelül már 6-12 hónappal a válság bekövetkezte előtt figyelmeztetés adható. A korábbi EU-</w:t>
      </w:r>
      <w:proofErr w:type="spellStart"/>
      <w:r>
        <w:t>homogenizációs</w:t>
      </w:r>
      <w:proofErr w:type="spellEnd"/>
      <w:r>
        <w:t xml:space="preserve"> kutatásban használt OECD adatbázis öt – vagy akár több – mutatója </w:t>
      </w:r>
      <w:proofErr w:type="spellStart"/>
      <w:r>
        <w:t>bootstrap</w:t>
      </w:r>
      <w:proofErr w:type="spellEnd"/>
      <w:r>
        <w:t xml:space="preserve"> módszerrel ezer vagy még ennél is több eloszlást is generálhat az 1995-2025 közötti időszakra vonatkozóan.</w:t>
      </w:r>
      <w:r w:rsidR="00CE59A9">
        <w:t xml:space="preserve"> Ha ezekre az adatokra alkalmazzuk a </w:t>
      </w:r>
      <w:proofErr w:type="spellStart"/>
      <w:r w:rsidR="00CE59A9">
        <w:t>Scheffer</w:t>
      </w:r>
      <w:proofErr w:type="spellEnd"/>
      <w:r w:rsidR="00CE59A9">
        <w:t>-indikátorok módszertanát, akkor valós időben detektálhatóvá válhat a bifurkáció közeledése is.</w:t>
      </w:r>
      <w:r w:rsidR="006F724C">
        <w:t xml:space="preserve"> </w:t>
      </w:r>
      <w:r w:rsidR="00CE0A0E">
        <w:t xml:space="preserve">A </w:t>
      </w:r>
      <w:r w:rsidR="00F11F2A">
        <w:t>tanulmány</w:t>
      </w:r>
      <w:r w:rsidR="00CE0A0E">
        <w:t xml:space="preserve"> j</w:t>
      </w:r>
      <w:r w:rsidR="00CE0A0E" w:rsidRPr="00CE0A0E">
        <w:t>avasolt jövőbeli kutatási irány</w:t>
      </w:r>
      <w:r w:rsidR="00CE0A0E">
        <w:t>a</w:t>
      </w:r>
      <w:r w:rsidR="00CE0A0E" w:rsidRPr="00CE0A0E">
        <w:t xml:space="preserve"> az eurozóna HICP inflációs adatainak 2000-2025 közötti vizsgálata, amely </w:t>
      </w:r>
      <w:proofErr w:type="spellStart"/>
      <w:r w:rsidR="00CE0A0E" w:rsidRPr="00CE0A0E">
        <w:t>validálhatná</w:t>
      </w:r>
      <w:proofErr w:type="spellEnd"/>
      <w:r w:rsidR="00CE0A0E" w:rsidRPr="00CE0A0E">
        <w:t xml:space="preserve"> a </w:t>
      </w:r>
      <w:proofErr w:type="spellStart"/>
      <w:r w:rsidR="00CE0A0E" w:rsidRPr="00CE0A0E">
        <w:t>Scheffer</w:t>
      </w:r>
      <w:proofErr w:type="spellEnd"/>
      <w:r w:rsidR="00CE0A0E" w:rsidRPr="00CE0A0E">
        <w:t>-indikátorok alkalmazhatóságát a gazdasági bifurkációk előrejelzésében</w:t>
      </w:r>
      <w:r w:rsidR="00CE0A0E">
        <w:t xml:space="preserve"> is.</w:t>
      </w:r>
    </w:p>
    <w:p w14:paraId="10CE7A74" w14:textId="0FFC3E67" w:rsidR="00DC7AFD" w:rsidRDefault="00DC7AFD" w:rsidP="002F05AA">
      <w:pPr>
        <w:pStyle w:val="fejezet2"/>
      </w:pPr>
      <w:bookmarkStart w:id="18" w:name="_Toc212910389"/>
      <w:r>
        <w:t>Többszcenáriós politikai döntéstámogatás</w:t>
      </w:r>
      <w:bookmarkEnd w:id="18"/>
    </w:p>
    <w:p w14:paraId="2A1B0CCE" w14:textId="25314929" w:rsidR="00DC7AFD" w:rsidRDefault="00DC7AFD" w:rsidP="00CE0D1C">
      <w:r>
        <w:t xml:space="preserve">A korábbiakban már említett </w:t>
      </w:r>
      <w:proofErr w:type="spellStart"/>
      <w:r>
        <w:t>bootstrap</w:t>
      </w:r>
      <w:proofErr w:type="spellEnd"/>
      <w:r>
        <w:t>-alapú szuperpozíciós modellezés módszertana politikai döntések támogatására is használható, hiszen ennek segítségével nem csak egyetlen jövőbeli fejlődési pályát</w:t>
      </w:r>
      <w:r w:rsidR="00B875E9">
        <w:t xml:space="preserve"> kapunk output adatként</w:t>
      </w:r>
      <w:r>
        <w:t xml:space="preserve">, hanem akár ezer lehetséges </w:t>
      </w:r>
      <w:r w:rsidR="00B875E9">
        <w:t>jövőben</w:t>
      </w:r>
      <w:r w:rsidR="00F11F2A">
        <w:t>i</w:t>
      </w:r>
      <w:r w:rsidR="00B875E9">
        <w:t xml:space="preserve"> </w:t>
      </w:r>
      <w:r>
        <w:t xml:space="preserve">forgatókönyv </w:t>
      </w:r>
      <w:r w:rsidR="00B875E9">
        <w:t xml:space="preserve">(például 2023-2035 között) </w:t>
      </w:r>
      <w:r>
        <w:t>párhuzamos elemzésére is sor kerülhet</w:t>
      </w:r>
      <w:r w:rsidR="00B875E9">
        <w:t>. Így a kohéziós források priorizálása a legrosszabb forgatókönyvek alapján történhet, azaz például ha egy ország homogenitása az előrejelzések szerint tíz százalékkal csökken, akkor ennek megelőzésére célzott intézkedéseket</w:t>
      </w:r>
      <w:r w:rsidR="009350D8">
        <w:t xml:space="preserve"> (vö. támogatásokat)</w:t>
      </w:r>
      <w:r w:rsidR="00B875E9">
        <w:t xml:space="preserve"> kell tervezni.</w:t>
      </w:r>
    </w:p>
    <w:p w14:paraId="09BA1A23" w14:textId="71CB20B3" w:rsidR="00B875E9" w:rsidRDefault="00B875E9" w:rsidP="00CE0D1C">
      <w:r>
        <w:t xml:space="preserve">Ezt a módszert regionális és városi dimenziókban is </w:t>
      </w:r>
      <w:proofErr w:type="spellStart"/>
      <w:r>
        <w:t>lehet</w:t>
      </w:r>
      <w:r w:rsidR="00F11F2A">
        <w:t>alkalmazni</w:t>
      </w:r>
      <w:proofErr w:type="spellEnd"/>
      <w:r>
        <w:t xml:space="preserve">. </w:t>
      </w:r>
      <w:r w:rsidR="009350D8">
        <w:t xml:space="preserve">A </w:t>
      </w:r>
      <w:r>
        <w:t xml:space="preserve">Mezőföld </w:t>
      </w:r>
      <w:r w:rsidR="009350D8">
        <w:t xml:space="preserve">vagy bármelyik más magyarországi vagy külföldi régió tekintetében, a módszer alkalmazásával azonosíthatóvá válnak azon régión belüli települések, melyek kritikus bifurkációs pontokat </w:t>
      </w:r>
      <w:r w:rsidR="009350D8">
        <w:lastRenderedPageBreak/>
        <w:t>jelentenek az egész régióra nézve</w:t>
      </w:r>
      <w:r w:rsidR="00053E3B">
        <w:t>, melyek alapján célzott intézkedéseket lehet tervezni. Városi szinten az eljárás segítségével pontosan számszerűsíthetővé válnak a „vákuum zónák” – azok a területek melyekről nem lehet egyértelműen megállapítani, hogy a városi vagy az agglomerációs mintázatba sorolhatóak-e b</w:t>
      </w:r>
      <w:r w:rsidR="00395808">
        <w:t>e – és azok jövőbeni viselkedései</w:t>
      </w:r>
      <w:r w:rsidR="00053E3B">
        <w:t xml:space="preserve">. Ezek alapján célzott hibrid városfejlesztési stratégiák dolgozhatók ki. </w:t>
      </w:r>
      <w:r w:rsidR="009350D8">
        <w:t xml:space="preserve"> </w:t>
      </w:r>
    </w:p>
    <w:p w14:paraId="593D5839" w14:textId="4EF47E7B" w:rsidR="00B875E9" w:rsidRDefault="00395808" w:rsidP="002F05AA">
      <w:pPr>
        <w:pStyle w:val="fejezet2"/>
      </w:pPr>
      <w:bookmarkStart w:id="19" w:name="_Toc212910390"/>
      <w:r>
        <w:t>Objektív, automatizált monitoring</w:t>
      </w:r>
      <w:bookmarkEnd w:id="19"/>
    </w:p>
    <w:p w14:paraId="4EA08F7F" w14:textId="609F0FA6" w:rsidR="000379F8" w:rsidRDefault="00395808" w:rsidP="00CE0D1C">
      <w:r>
        <w:t xml:space="preserve">A COCO Y0 algoritmus és a </w:t>
      </w:r>
      <w:proofErr w:type="spellStart"/>
      <w:r>
        <w:t>bootstrap</w:t>
      </w:r>
      <w:proofErr w:type="spellEnd"/>
      <w:r>
        <w:t xml:space="preserve"> módszer </w:t>
      </w:r>
      <w:r w:rsidR="000379F8">
        <w:t>együttese teljes mértékben adat vezérelt,</w:t>
      </w:r>
      <w:r w:rsidR="00F11F2A">
        <w:t xml:space="preserve"> valamint</w:t>
      </w:r>
      <w:r w:rsidR="000379F8">
        <w:t xml:space="preserve"> a szubjektív szakértői előfeltételezése</w:t>
      </w:r>
      <w:r w:rsidR="00F11F2A">
        <w:t>ktől független</w:t>
      </w:r>
      <w:r w:rsidR="000379F8">
        <w:t>. Ez eljárás során előállított kimeneti eloszlási adatok minden esetben visszavezethetőek a bemeneti változókra</w:t>
      </w:r>
      <w:r w:rsidR="00F11F2A">
        <w:t>, ami</w:t>
      </w:r>
      <w:r w:rsidR="000379F8">
        <w:t xml:space="preserve"> garantálja a </w:t>
      </w:r>
      <w:r w:rsidR="00186090">
        <w:t>modellezés</w:t>
      </w:r>
      <w:r w:rsidR="000379F8">
        <w:t xml:space="preserve"> objektivitását, és az </w:t>
      </w:r>
      <w:proofErr w:type="spellStart"/>
      <w:r w:rsidR="000379F8">
        <w:t>adatvezérelt</w:t>
      </w:r>
      <w:proofErr w:type="spellEnd"/>
      <w:r w:rsidR="000379F8">
        <w:t xml:space="preserve"> gazdasági elemzések, politikai döntések megalapozottságát. </w:t>
      </w:r>
    </w:p>
    <w:p w14:paraId="1DF6BC27" w14:textId="2F9D5067" w:rsidR="00395808" w:rsidRDefault="00CE0A0E" w:rsidP="00CE0D1C">
      <w:r>
        <w:t>E</w:t>
      </w:r>
      <w:r w:rsidR="00186090">
        <w:t xml:space="preserve">z </w:t>
      </w:r>
      <w:r w:rsidR="00F11F2A">
        <w:t xml:space="preserve">az </w:t>
      </w:r>
      <w:r w:rsidR="00186090">
        <w:t>applikáció</w:t>
      </w:r>
      <w:r>
        <w:t xml:space="preserve"> potenciálisan</w:t>
      </w:r>
      <w:r w:rsidR="00186090">
        <w:t xml:space="preserve"> </w:t>
      </w:r>
      <w:r w:rsidR="000379F8">
        <w:t xml:space="preserve">az Európai Bizottság DG REGIO (vö. </w:t>
      </w:r>
      <w:proofErr w:type="spellStart"/>
      <w:r w:rsidR="000379F8" w:rsidRPr="000379F8">
        <w:t>Directorate</w:t>
      </w:r>
      <w:proofErr w:type="spellEnd"/>
      <w:r w:rsidR="000379F8" w:rsidRPr="000379F8">
        <w:t xml:space="preserve">-General </w:t>
      </w:r>
      <w:proofErr w:type="spellStart"/>
      <w:r w:rsidR="000379F8" w:rsidRPr="000379F8">
        <w:t>for</w:t>
      </w:r>
      <w:proofErr w:type="spellEnd"/>
      <w:r w:rsidR="000379F8" w:rsidRPr="000379F8">
        <w:t xml:space="preserve"> </w:t>
      </w:r>
      <w:proofErr w:type="spellStart"/>
      <w:r w:rsidR="000379F8" w:rsidRPr="000379F8">
        <w:t>Regional</w:t>
      </w:r>
      <w:proofErr w:type="spellEnd"/>
      <w:r w:rsidR="000379F8" w:rsidRPr="000379F8">
        <w:t xml:space="preserve"> and Urban Policy</w:t>
      </w:r>
      <w:r w:rsidR="000379F8">
        <w:t>) uniós főigazgatóság</w:t>
      </w:r>
      <w:r w:rsidR="00F11F2A">
        <w:t xml:space="preserve"> és az országok városfejlesztésében résztvevő politikusok, vagy </w:t>
      </w:r>
      <w:proofErr w:type="spellStart"/>
      <w:r w:rsidR="00F11F2A">
        <w:t>megáncégek</w:t>
      </w:r>
      <w:proofErr w:type="spellEnd"/>
      <w:r w:rsidR="00186090">
        <w:t xml:space="preserve"> számára jelentené a legnagyobb hozzáadott értéket, </w:t>
      </w:r>
      <w:r>
        <w:t>mivel</w:t>
      </w:r>
      <w:r w:rsidR="00186090">
        <w:t xml:space="preserve"> az input adatok havonta frissülnek Eurostat</w:t>
      </w:r>
      <w:r w:rsidR="00F11F2A">
        <w:t>,</w:t>
      </w:r>
      <w:r w:rsidR="00186090">
        <w:t xml:space="preserve"> OECD </w:t>
      </w:r>
      <w:r w:rsidR="00F11F2A">
        <w:t xml:space="preserve">vagy akár a helyi adatbázisokban megtalálható bemeneti </w:t>
      </w:r>
      <w:r w:rsidR="00186090">
        <w:t>adatokkal, az algoritmusok automatikusan</w:t>
      </w:r>
      <w:r>
        <w:t>,</w:t>
      </w:r>
      <w:r w:rsidR="00186090">
        <w:t xml:space="preserve"> havonta lefutnak és ezek eredményei alapján, pedig szintén automatikus figyelmeztető üzeneteket küld, ha egy régióban vagy tagállamban a bifurkáció-indikátorok aktiválódnak. Ez objektív, átlátható és valós időben történő döntéstámogatást biztosit. </w:t>
      </w:r>
    </w:p>
    <w:p w14:paraId="14D6E2F6" w14:textId="129517AB" w:rsidR="00B57DD9" w:rsidRDefault="00824676" w:rsidP="002F05AA">
      <w:pPr>
        <w:pStyle w:val="fejezet2"/>
      </w:pPr>
      <w:bookmarkStart w:id="20" w:name="_Toc212910391"/>
      <w:r>
        <w:t>Interdiszciplináris</w:t>
      </w:r>
      <w:r w:rsidR="00186090">
        <w:t xml:space="preserve"> alkalmazhatóság</w:t>
      </w:r>
      <w:bookmarkEnd w:id="20"/>
    </w:p>
    <w:p w14:paraId="7D5473C1" w14:textId="0F3BDA71" w:rsidR="00824676" w:rsidRDefault="00824676" w:rsidP="00CE0D1C">
      <w:r>
        <w:t xml:space="preserve">Fontos megjegyezni, hogy az itt bemutatott módszer nem korlátozódik </w:t>
      </w:r>
      <w:r w:rsidR="008A2D86">
        <w:t>csak és kizárólag a</w:t>
      </w:r>
      <w:r>
        <w:t xml:space="preserve"> gazdasági homogenitás</w:t>
      </w:r>
      <w:r w:rsidR="008A2D86">
        <w:t xml:space="preserve"> kérdéskör</w:t>
      </w:r>
      <w:r w:rsidR="00F11F2A">
        <w:t>ére</w:t>
      </w:r>
      <w:r>
        <w:t>.</w:t>
      </w:r>
      <w:r w:rsidR="008A2D86">
        <w:t xml:space="preserve"> Az eddig alkalmazott modellezési módszertannak köszönhetően, bemeneti adat szempontból lényegében bármely idősoros adat felhasználható.</w:t>
      </w:r>
      <w:r>
        <w:t xml:space="preserve"> </w:t>
      </w:r>
      <w:r w:rsidR="008A2D86">
        <w:t xml:space="preserve">Így </w:t>
      </w:r>
      <w:r>
        <w:t xml:space="preserve">a modell adaptálható például környezeti fenntarthatóság (vö. települések közötti levegőminőség, vízminőség), egészségügyi egyenlőtlenségek (vö. egészségügyi hozzáférés régiónként), valamint oktatási kohézió (vö. iskolák közötti teljesítmény különbségek, pedagógusok számának bifurkációs elemzése) területeken is. </w:t>
      </w:r>
    </w:p>
    <w:p w14:paraId="635B1781" w14:textId="6A6208E2" w:rsidR="008A2D86" w:rsidRDefault="008A2D86" w:rsidP="002F05AA">
      <w:pPr>
        <w:pStyle w:val="fejezet2"/>
      </w:pPr>
      <w:bookmarkStart w:id="21" w:name="_Toc212910392"/>
      <w:r>
        <w:t>Technológiai feltételek</w:t>
      </w:r>
      <w:bookmarkEnd w:id="21"/>
    </w:p>
    <w:p w14:paraId="28138E84" w14:textId="33C4A79D" w:rsidR="00D66A24" w:rsidRDefault="008A2D86" w:rsidP="00CE0D1C">
      <w:r>
        <w:t xml:space="preserve">A </w:t>
      </w:r>
      <w:r w:rsidR="00CC4EAD">
        <w:t>tanulmányban</w:t>
      </w:r>
      <w:r>
        <w:t xml:space="preserve"> bemutatott módszer megvalósítása teljes mértékben megvalósítható a ma</w:t>
      </w:r>
      <w:r w:rsidR="00CC4EAD">
        <w:t xml:space="preserve">napság </w:t>
      </w:r>
      <w:r>
        <w:t xml:space="preserve">elérhető technológiák segítségével. A szoftver környezet (vö. Python: </w:t>
      </w:r>
      <w:proofErr w:type="spellStart"/>
      <w:r>
        <w:t>pandas</w:t>
      </w:r>
      <w:proofErr w:type="spellEnd"/>
      <w:r>
        <w:t xml:space="preserve">, </w:t>
      </w:r>
      <w:proofErr w:type="spellStart"/>
      <w:r>
        <w:t>numpy</w:t>
      </w:r>
      <w:proofErr w:type="spellEnd"/>
      <w:r>
        <w:t xml:space="preserve">, </w:t>
      </w:r>
      <w:proofErr w:type="spellStart"/>
      <w:r>
        <w:t>scipy</w:t>
      </w:r>
      <w:proofErr w:type="spellEnd"/>
      <w:r>
        <w:t xml:space="preserve">, </w:t>
      </w:r>
      <w:proofErr w:type="spellStart"/>
      <w:r>
        <w:t>statsmodells</w:t>
      </w:r>
      <w:proofErr w:type="spellEnd"/>
      <w:r>
        <w:t>) és a COCO Y0 API-n keresztül való elérése kivitelezhető</w:t>
      </w:r>
      <w:r w:rsidR="00CC4EAD">
        <w:t xml:space="preserve">, ezek összekapcsolása kisebb programozási időt igényelhet, melyhez </w:t>
      </w:r>
      <w:r>
        <w:t>egy közepes teljesítményű számítógép NVIDIA RTX 3060 GPU-</w:t>
      </w:r>
      <w:proofErr w:type="spellStart"/>
      <w:r>
        <w:t>val</w:t>
      </w:r>
      <w:proofErr w:type="spellEnd"/>
      <w:r>
        <w:t xml:space="preserve"> elegendő. Az adatvagyon forrásai, azaz az OECD </w:t>
      </w:r>
      <w:r>
        <w:lastRenderedPageBreak/>
        <w:t xml:space="preserve">API, a KSH és </w:t>
      </w:r>
      <w:proofErr w:type="spellStart"/>
      <w:r>
        <w:t>TEiR</w:t>
      </w:r>
      <w:proofErr w:type="spellEnd"/>
      <w:r>
        <w:t xml:space="preserve"> adatbázisok, valamint az Eurostat és EKB API-ok nyílt hozzáféréssel rendelkeznek, így ezek ingyenesek.</w:t>
      </w:r>
    </w:p>
    <w:p w14:paraId="4B47805F" w14:textId="77777777" w:rsidR="00A40917" w:rsidRPr="003E168A" w:rsidRDefault="00A40917" w:rsidP="00A40917">
      <w:pPr>
        <w:pStyle w:val="fejezet1"/>
        <w:rPr>
          <w:lang w:val="hu-HU"/>
        </w:rPr>
      </w:pPr>
      <w:bookmarkStart w:id="22" w:name="_Toc212910393"/>
      <w:r w:rsidRPr="003E168A">
        <w:rPr>
          <w:lang w:val="hu-HU"/>
        </w:rPr>
        <w:t>Szakpolitikai és etikai következmények</w:t>
      </w:r>
      <w:bookmarkEnd w:id="22"/>
    </w:p>
    <w:p w14:paraId="7906E2CD" w14:textId="78FBEBA5" w:rsidR="00D66A24" w:rsidRDefault="00C4667D" w:rsidP="00CE0D1C">
      <w:r>
        <w:t xml:space="preserve">A kvantum-inspirált homogenitás modellek bevezetése nagy mértékben </w:t>
      </w:r>
      <w:r w:rsidR="00CC4EAD">
        <w:t>átalakíthatja</w:t>
      </w:r>
      <w:r>
        <w:t xml:space="preserve"> a </w:t>
      </w:r>
      <w:r w:rsidR="00CC4EAD">
        <w:t>napjainkban</w:t>
      </w:r>
      <w:r>
        <w:t xml:space="preserve"> alkalmazott hazai és uniós szakpolitikai döntéshozatali gyakorlatot. Ez az eloszlás alapú megközelítés </w:t>
      </w:r>
      <w:r w:rsidR="00D66A24">
        <w:t xml:space="preserve">– amely a kohéziót nem egyszerű pontértékként, hanem </w:t>
      </w:r>
      <w:r w:rsidR="00CC4EAD">
        <w:t>valószínűségi</w:t>
      </w:r>
      <w:r w:rsidR="00D66A24">
        <w:t xml:space="preserve"> tartományként írja le – lehetőséget biztosít a forrásallokáció, a regionális fejlesztési prioritások és a </w:t>
      </w:r>
      <w:r w:rsidR="00CC4EAD">
        <w:t>gazdasági</w:t>
      </w:r>
      <w:r w:rsidR="00D66A24">
        <w:t xml:space="preserve"> stabilitás proaktív megfigyelésére és kezelésére is egyaránt. A tanulmányban bemutatott kvantum-modell nyújtotta objektivitás – különös tekintettel az automatizált riasztó rendszerek</w:t>
      </w:r>
      <w:r w:rsidR="00CC4EAD">
        <w:t>re</w:t>
      </w:r>
      <w:r w:rsidR="00D66A24">
        <w:t xml:space="preserve"> – lehetővé teszi, hogy a döntéshozók már a válságok kialakulása előtt olyan döntéseket hozzanak, melyekkel minimalizálhatják a rendszer szintű instabilitást</w:t>
      </w:r>
      <w:r w:rsidR="00CC4EAD">
        <w:t xml:space="preserve"> és az azokból fakadó negatív gazdasági hatásokat.</w:t>
      </w:r>
    </w:p>
    <w:p w14:paraId="18B58BF8" w14:textId="4081C075" w:rsidR="00C4667D" w:rsidRDefault="00D66A24" w:rsidP="00CE0D1C">
      <w:r>
        <w:t>Az elmúlt években közzétett EKB kutatásaira támaszkodva elmondható, hogy az egységes monetáris politika</w:t>
      </w:r>
      <w:r w:rsidR="00C46071">
        <w:t xml:space="preserve"> hatásai országonként, háztartástípusonként és jövedelmi csoportonként jelentősen eltér, így ezeknek az intézkedéseknek sokféle hatása realizálódik a társadalomban. Ezért annak érdekében, hogy reális visszacsatolást kapjunk az intézkedések valódi társadalmi hatásairól, az eddigi lineáris modellek (átlagok stb.) helyett célszerűbb lenne a kvantum-inspirált modellek alkalmazása</w:t>
      </w:r>
      <w:r w:rsidR="00CC4EAD">
        <w:t xml:space="preserve"> e téren is</w:t>
      </w:r>
      <w:r w:rsidR="00C46071">
        <w:t xml:space="preserve">. Egész egyszerűen azért, mert ezek a tradicionális modellek elfedik a szélsőségeket és ezzel együtt az aszimmetriákat is </w:t>
      </w:r>
      <w:r w:rsidR="00C46071" w:rsidRPr="00C46071">
        <w:t>(</w:t>
      </w:r>
      <w:proofErr w:type="spellStart"/>
      <w:r w:rsidR="000B49BB" w:rsidRPr="000B49BB">
        <w:t>Ampudia</w:t>
      </w:r>
      <w:proofErr w:type="spellEnd"/>
      <w:r w:rsidR="000B49BB" w:rsidRPr="000B49BB">
        <w:t xml:space="preserve"> </w:t>
      </w:r>
      <w:proofErr w:type="spellStart"/>
      <w:r w:rsidR="000B49BB" w:rsidRPr="000B49BB">
        <w:t>et</w:t>
      </w:r>
      <w:proofErr w:type="spellEnd"/>
      <w:r w:rsidR="000B49BB" w:rsidRPr="000B49BB">
        <w:t xml:space="preserve"> </w:t>
      </w:r>
      <w:proofErr w:type="spellStart"/>
      <w:r w:rsidR="000B49BB" w:rsidRPr="000B49BB">
        <w:t>al</w:t>
      </w:r>
      <w:proofErr w:type="spellEnd"/>
      <w:r w:rsidR="000B49BB" w:rsidRPr="000B49BB">
        <w:t xml:space="preserve">., 2018; </w:t>
      </w:r>
      <w:proofErr w:type="spellStart"/>
      <w:r w:rsidR="000B49BB" w:rsidRPr="000B49BB">
        <w:t>Bundesbank</w:t>
      </w:r>
      <w:proofErr w:type="spellEnd"/>
      <w:r w:rsidR="000B49BB" w:rsidRPr="000B49BB">
        <w:t xml:space="preserve">, 2023; </w:t>
      </w:r>
      <w:proofErr w:type="spellStart"/>
      <w:r w:rsidR="000B49BB" w:rsidRPr="000B49BB">
        <w:t>Benassy-Quéré</w:t>
      </w:r>
      <w:proofErr w:type="spellEnd"/>
      <w:r w:rsidR="000B49BB" w:rsidRPr="000B49BB">
        <w:t xml:space="preserve"> </w:t>
      </w:r>
      <w:proofErr w:type="spellStart"/>
      <w:r w:rsidR="000B49BB" w:rsidRPr="000B49BB">
        <w:t>et</w:t>
      </w:r>
      <w:proofErr w:type="spellEnd"/>
      <w:r w:rsidR="000B49BB" w:rsidRPr="000B49BB">
        <w:t xml:space="preserve"> </w:t>
      </w:r>
      <w:proofErr w:type="spellStart"/>
      <w:r w:rsidR="000B49BB" w:rsidRPr="000B49BB">
        <w:t>al</w:t>
      </w:r>
      <w:proofErr w:type="spellEnd"/>
      <w:r w:rsidR="000B49BB" w:rsidRPr="000B49BB">
        <w:t>., 2025; ECB, 2024; SUERF, 2025</w:t>
      </w:r>
      <w:r w:rsidR="00C46071" w:rsidRPr="00C46071">
        <w:t>)</w:t>
      </w:r>
      <w:r w:rsidR="00B604C3">
        <w:t xml:space="preserve">. A valószínűségi szcenáriók és a </w:t>
      </w:r>
      <w:proofErr w:type="spellStart"/>
      <w:r w:rsidR="00B604C3">
        <w:t>dekoherencia</w:t>
      </w:r>
      <w:proofErr w:type="spellEnd"/>
      <w:r w:rsidR="00B604C3">
        <w:t xml:space="preserve">-szimulációk segítségével pontosabb képet kapunk arról, hogy az egyes döntések milyen kockázatokkal járhatnak (vö. a </w:t>
      </w:r>
      <w:proofErr w:type="spellStart"/>
      <w:r w:rsidR="00B604C3">
        <w:t>dekoherenciához</w:t>
      </w:r>
      <w:proofErr w:type="spellEnd"/>
      <w:r w:rsidR="00B604C3">
        <w:t xml:space="preserve"> vezető, kritikus állapotokhoz való közeledés esélyét is modellezni lehetne). </w:t>
      </w:r>
    </w:p>
    <w:p w14:paraId="02FBE674" w14:textId="4DA37F85" w:rsidR="00B604C3" w:rsidRDefault="00B604C3" w:rsidP="00CE0D1C">
      <w:r>
        <w:t xml:space="preserve"> Természetesen</w:t>
      </w:r>
      <w:r w:rsidR="00A40917" w:rsidRPr="003E168A">
        <w:t xml:space="preserve"> a homogenitásmérés etikai kérdéseket is felvet. </w:t>
      </w:r>
      <w:r>
        <w:t>Például olyanokat, hogy k</w:t>
      </w:r>
      <w:r w:rsidR="00A40917" w:rsidRPr="003E168A">
        <w:t>i dönt</w:t>
      </w:r>
      <w:r>
        <w:t>i</w:t>
      </w:r>
      <w:r w:rsidR="00A40917" w:rsidRPr="003E168A">
        <w:t xml:space="preserve"> el, hogy mi számít "megfelelő" homogenitásnak? Milyen mértékű heterogenitás tekinthető még egészségesnek egy társadalomban? Ezek a kérdések nem tisztán technikai jellegűek, hanem </w:t>
      </w:r>
      <w:r>
        <w:t xml:space="preserve">szubjektív </w:t>
      </w:r>
      <w:r w:rsidR="00A40917" w:rsidRPr="003E168A">
        <w:t xml:space="preserve">értékválasztásokat is tartalmaznak. </w:t>
      </w:r>
      <w:r>
        <w:t>Az itt bemutatott kvantum-inspirált modellezés elsősorban döntés</w:t>
      </w:r>
      <w:r w:rsidR="002F05AA">
        <w:t>támogatásra alkalmasak, így a végső felelősség továbbra is a végső döntéshozót terheli. Fontosnak tartom, hogy ezek az algoritmusok ne helyettesítsék a szubjektív, társadalmi értékválasztásokat, hanem inkább ezek explicit keretéül szolgáljanak. Kiemelten fontos továbbá, hogy a</w:t>
      </w:r>
      <w:r w:rsidR="002F05AA" w:rsidRPr="002F05AA">
        <w:t>z automatizált, átlátható és reprodukálható monitoring-rendszerek erősítik a</w:t>
      </w:r>
      <w:r w:rsidR="002F05AA">
        <w:t>z adatok mögött rejlő</w:t>
      </w:r>
      <w:r w:rsidR="002F05AA" w:rsidRPr="002F05AA">
        <w:t xml:space="preserve"> transzparenciát</w:t>
      </w:r>
      <w:r w:rsidR="002F05AA">
        <w:t xml:space="preserve"> ezzel</w:t>
      </w:r>
      <w:r w:rsidR="002F05AA" w:rsidRPr="002F05AA">
        <w:t xml:space="preserve"> csökkentik az információs </w:t>
      </w:r>
      <w:r w:rsidR="002F05AA" w:rsidRPr="002F05AA">
        <w:lastRenderedPageBreak/>
        <w:t>aszimmetriát,</w:t>
      </w:r>
      <w:r w:rsidR="002F05AA">
        <w:t xml:space="preserve"> de</w:t>
      </w:r>
      <w:r w:rsidR="002F05AA" w:rsidRPr="002F05AA">
        <w:t xml:space="preserve"> ugyanakkor </w:t>
      </w:r>
      <w:r w:rsidR="002F05AA">
        <w:t>semmiképp sem</w:t>
      </w:r>
      <w:r w:rsidR="002F05AA" w:rsidRPr="002F05AA">
        <w:t xml:space="preserve"> oldják fel a méltányosság körüli társadalmi vitákat.</w:t>
      </w:r>
      <w:r w:rsidR="002F05AA">
        <w:t xml:space="preserve"> </w:t>
      </w:r>
    </w:p>
    <w:p w14:paraId="768F6C85" w14:textId="1D02E773" w:rsidR="00A40917" w:rsidRPr="003E168A" w:rsidRDefault="00A40917" w:rsidP="00A40917">
      <w:pPr>
        <w:pStyle w:val="fejezet1"/>
        <w:rPr>
          <w:lang w:val="hu-HU"/>
        </w:rPr>
      </w:pPr>
      <w:bookmarkStart w:id="23" w:name="_Toc212910394"/>
      <w:r w:rsidRPr="003E168A">
        <w:rPr>
          <w:lang w:val="hu-HU"/>
        </w:rPr>
        <w:t>Következtetések</w:t>
      </w:r>
      <w:r w:rsidR="009764CF" w:rsidRPr="003E168A">
        <w:rPr>
          <w:lang w:val="hu-HU"/>
        </w:rPr>
        <w:t>, összefoglalás</w:t>
      </w:r>
      <w:r w:rsidRPr="003E168A">
        <w:rPr>
          <w:lang w:val="hu-HU"/>
        </w:rPr>
        <w:t xml:space="preserve"> és jövőbeli kutatási irányok</w:t>
      </w:r>
      <w:bookmarkEnd w:id="23"/>
    </w:p>
    <w:p w14:paraId="7D5CF67B" w14:textId="69831AFA" w:rsidR="00CF6AEB" w:rsidRDefault="00CF6AEB" w:rsidP="00CE0D1C">
      <w:r>
        <w:t>A tanulmány korábbi fejezeteiben részletesen bemutattam, hogy a társadalmi-gazdasági rendszerek elemzésében a kvantum-inspirált homogenitás modellek nem csak elméleti újítás</w:t>
      </w:r>
      <w:r w:rsidR="00CC4EAD">
        <w:t>t jelentenek</w:t>
      </w:r>
      <w:r>
        <w:t>, hanem empirikusan megalapozott, gyakorlati paradigmaváltás</w:t>
      </w:r>
      <w:r w:rsidR="00CC4EAD">
        <w:t>t</w:t>
      </w:r>
      <w:r>
        <w:t xml:space="preserve"> is. A tanulmányban bemutatott hazai és európai esettanulmányok (vö. EU-homogenitás, Mezőföld régió, Budapest és agglomerációja) eredményei pontosan szemléltetik, hogy a homogenitás időben nem lineáris</w:t>
      </w:r>
      <w:r w:rsidR="007741CA">
        <w:t xml:space="preserve"> és bi</w:t>
      </w:r>
      <w:r w:rsidR="005D2AF3">
        <w:t>f</w:t>
      </w:r>
      <w:r w:rsidR="007741CA">
        <w:t>u</w:t>
      </w:r>
      <w:r w:rsidR="005D2AF3">
        <w:t>r</w:t>
      </w:r>
      <w:r w:rsidR="007741CA">
        <w:t xml:space="preserve">kációs pontokon keresztül változik. </w:t>
      </w:r>
    </w:p>
    <w:p w14:paraId="421E1FF4" w14:textId="18F65DC1" w:rsidR="00B37E8B" w:rsidRDefault="00B37E8B" w:rsidP="00CE0D1C">
      <w:r>
        <w:t xml:space="preserve">A </w:t>
      </w:r>
      <w:proofErr w:type="spellStart"/>
      <w:r>
        <w:t>Scheffer</w:t>
      </w:r>
      <w:proofErr w:type="spellEnd"/>
      <w:r>
        <w:t xml:space="preserve">-indikátorok empirikus igazolásai valós alapot szolgáltatnak arra a feltételezésre, hogy igen is léteznek és matematikailag mérhetőek is a társadalmi, gazdasági rendszerek válságok előtti korai figyelmeztető jelzései (vö. növekvő variancia, erősödő </w:t>
      </w:r>
      <w:proofErr w:type="spellStart"/>
      <w:r>
        <w:t>autokorreláció</w:t>
      </w:r>
      <w:proofErr w:type="spellEnd"/>
      <w:r>
        <w:t xml:space="preserve"> és lassabb helyreállás). Ezek mindegyike időben azonosíthatóak és stabil alapot nyújthatnak a proaktív döntéshozatalban is </w:t>
      </w:r>
      <w:r w:rsidRPr="00934E1E">
        <w:t>(</w:t>
      </w:r>
      <w:proofErr w:type="spellStart"/>
      <w:r w:rsidRPr="00934E1E">
        <w:t>Scheffer</w:t>
      </w:r>
      <w:proofErr w:type="spellEnd"/>
      <w:r w:rsidRPr="00934E1E">
        <w:t xml:space="preserve"> </w:t>
      </w:r>
      <w:proofErr w:type="spellStart"/>
      <w:r w:rsidRPr="00934E1E">
        <w:t>et</w:t>
      </w:r>
      <w:proofErr w:type="spellEnd"/>
      <w:r w:rsidRPr="00934E1E">
        <w:t xml:space="preserve"> </w:t>
      </w:r>
      <w:proofErr w:type="spellStart"/>
      <w:r w:rsidRPr="00934E1E">
        <w:t>al</w:t>
      </w:r>
      <w:proofErr w:type="spellEnd"/>
      <w:r w:rsidRPr="00934E1E">
        <w:t xml:space="preserve">., 2009; </w:t>
      </w:r>
      <w:proofErr w:type="spellStart"/>
      <w:r w:rsidRPr="00934E1E">
        <w:t>Kuehn</w:t>
      </w:r>
      <w:proofErr w:type="spellEnd"/>
      <w:r w:rsidRPr="00934E1E">
        <w:t xml:space="preserve">, 2011; </w:t>
      </w:r>
      <w:proofErr w:type="spellStart"/>
      <w:r w:rsidRPr="00934E1E">
        <w:t>Dakos</w:t>
      </w:r>
      <w:proofErr w:type="spellEnd"/>
      <w:r w:rsidRPr="00934E1E">
        <w:t xml:space="preserve"> </w:t>
      </w:r>
      <w:proofErr w:type="spellStart"/>
      <w:r w:rsidRPr="00934E1E">
        <w:t>et</w:t>
      </w:r>
      <w:proofErr w:type="spellEnd"/>
      <w:r w:rsidRPr="00934E1E">
        <w:t xml:space="preserve"> </w:t>
      </w:r>
      <w:proofErr w:type="spellStart"/>
      <w:r w:rsidRPr="00934E1E">
        <w:t>al</w:t>
      </w:r>
      <w:proofErr w:type="spellEnd"/>
      <w:r w:rsidRPr="00934E1E">
        <w:t>., 2016)</w:t>
      </w:r>
      <w:r>
        <w:t xml:space="preserve">. Például a 2008-as pénzügyi világválság előtt is megfigyelhetőek voltak ezek a jelzések, ám akkoriban nem rendelkeztünk olyan automatizált és adat vezérelt rendszerrel, amely ezeket valós időben vizsgálta volna.  </w:t>
      </w:r>
    </w:p>
    <w:p w14:paraId="076618E4" w14:textId="27F4BE2D" w:rsidR="00B37E8B" w:rsidRDefault="007741CA" w:rsidP="00CE0D1C">
      <w:r>
        <w:t>A kvantum-inspirált megközelítés egyik legfontosabb következtetése, hogy a gazdasági és társadalmi rendszerekben a manapság egyre gyorsabb ütemben tapasztalt válságok hatásai, mint például a 2008-as pénzügyi válság, vagy a 2022-es energia válság</w:t>
      </w:r>
      <w:r w:rsidR="00CC4EAD">
        <w:t xml:space="preserve"> által okozott</w:t>
      </w:r>
      <w:r>
        <w:t xml:space="preserve"> inflációs széttagoltság, nem magyarázhatók pusztán a klasszikus egyensúlyi modellekkel</w:t>
      </w:r>
      <w:r w:rsidR="00CC4EAD">
        <w:t>. Ezek</w:t>
      </w:r>
      <w:r>
        <w:t xml:space="preserve"> gazdasági alkalmazhatóságát a szakirodalom már hosszú évek óta kritizálja </w:t>
      </w:r>
      <w:r w:rsidRPr="007741CA">
        <w:t xml:space="preserve">(Arthur, 1999, 2021; Farmer &amp; </w:t>
      </w:r>
      <w:proofErr w:type="spellStart"/>
      <w:r w:rsidRPr="007741CA">
        <w:t>Geanakoplos</w:t>
      </w:r>
      <w:proofErr w:type="spellEnd"/>
      <w:r w:rsidRPr="007741CA">
        <w:t xml:space="preserve">, 2009; </w:t>
      </w:r>
      <w:proofErr w:type="spellStart"/>
      <w:r w:rsidRPr="007741CA">
        <w:t>Rodrik</w:t>
      </w:r>
      <w:proofErr w:type="spellEnd"/>
      <w:r w:rsidRPr="007741CA">
        <w:t>, 2015)</w:t>
      </w:r>
      <w:r>
        <w:t>.</w:t>
      </w:r>
      <w:r w:rsidR="00B37E8B">
        <w:t xml:space="preserve"> Emellett az EKB kutatásai szerint az egységes monetáris politika eltérően fejti </w:t>
      </w:r>
      <w:r w:rsidR="00CC4EAD">
        <w:t>ki hatását</w:t>
      </w:r>
      <w:r w:rsidR="00B37E8B">
        <w:t xml:space="preserve"> mind az EU-s tagállamok, mind pedig a jövedelmi csoportok között, melynek komplex modellezésére a</w:t>
      </w:r>
      <w:r w:rsidR="00CC4EAD">
        <w:t xml:space="preserve"> klasszikus </w:t>
      </w:r>
      <w:r w:rsidR="00B37E8B">
        <w:t>modellek nem alkalmasak</w:t>
      </w:r>
      <w:r w:rsidR="00B37E8B" w:rsidRPr="00B37E8B">
        <w:rPr>
          <w:rFonts w:ascii="Segoe UI" w:hAnsi="Segoe UI" w:cs="Segoe UI"/>
          <w:spacing w:val="1"/>
        </w:rPr>
        <w:t xml:space="preserve"> </w:t>
      </w:r>
      <w:r w:rsidR="00B37E8B" w:rsidRPr="00B37E8B">
        <w:t>(</w:t>
      </w:r>
      <w:proofErr w:type="spellStart"/>
      <w:r w:rsidR="000B49BB" w:rsidRPr="000B49BB">
        <w:t>Ampudia</w:t>
      </w:r>
      <w:proofErr w:type="spellEnd"/>
      <w:r w:rsidR="000B49BB" w:rsidRPr="000B49BB">
        <w:t xml:space="preserve"> </w:t>
      </w:r>
      <w:proofErr w:type="spellStart"/>
      <w:r w:rsidR="000B49BB" w:rsidRPr="000B49BB">
        <w:t>et</w:t>
      </w:r>
      <w:proofErr w:type="spellEnd"/>
      <w:r w:rsidR="000B49BB" w:rsidRPr="000B49BB">
        <w:t xml:space="preserve"> </w:t>
      </w:r>
      <w:proofErr w:type="spellStart"/>
      <w:r w:rsidR="000B49BB" w:rsidRPr="000B49BB">
        <w:t>al</w:t>
      </w:r>
      <w:proofErr w:type="spellEnd"/>
      <w:r w:rsidR="000B49BB" w:rsidRPr="000B49BB">
        <w:t>., 2018; ECB, 2024</w:t>
      </w:r>
      <w:r w:rsidR="00B37E8B" w:rsidRPr="00B37E8B">
        <w:t>)</w:t>
      </w:r>
      <w:r w:rsidR="00B37E8B">
        <w:t xml:space="preserve">. A kvantum-inspirált modellezés pont ezt a problémát kívánja megoldani úgy, hogy valószínűségi eloszlásokat használ a pontbecslés helyett. </w:t>
      </w:r>
    </w:p>
    <w:p w14:paraId="332D03BF" w14:textId="410AA8C0" w:rsidR="00B8116B" w:rsidRDefault="00B8116B" w:rsidP="00CE0D1C">
      <w:r>
        <w:t>Korábbi MI vezérelt homogenitás kutatásaink módszertana tökéletes kiindulópontot jelentenek</w:t>
      </w:r>
      <w:r w:rsidR="00CC4EAD">
        <w:t xml:space="preserve"> a</w:t>
      </w:r>
      <w:r>
        <w:t xml:space="preserve"> kvantum-inspirált modellek </w:t>
      </w:r>
      <w:r w:rsidR="00CC4EAD">
        <w:t xml:space="preserve">módszertani </w:t>
      </w:r>
      <w:r>
        <w:t xml:space="preserve">kereteinek kialakításához, hiszen az ezekben felhasznált adatvagyonok </w:t>
      </w:r>
      <w:proofErr w:type="spellStart"/>
      <w:r>
        <w:t>bootstrap</w:t>
      </w:r>
      <w:proofErr w:type="spellEnd"/>
      <w:r>
        <w:t xml:space="preserve"> </w:t>
      </w:r>
      <w:proofErr w:type="spellStart"/>
      <w:r>
        <w:t>mnódszerrel</w:t>
      </w:r>
      <w:proofErr w:type="spellEnd"/>
      <w:r>
        <w:t xml:space="preserve"> eloszlássá alakíthatók, melyek lehetővé tennék a párhuzamos szcenárió-, </w:t>
      </w:r>
      <w:proofErr w:type="spellStart"/>
      <w:r>
        <w:t>dekoherancia</w:t>
      </w:r>
      <w:proofErr w:type="spellEnd"/>
      <w:r>
        <w:t>-, és bifurkációs elemzéseket.</w:t>
      </w:r>
      <w:r w:rsidR="00FE4F64">
        <w:t xml:space="preserve"> Fontos kiemelni, hogy a kvantum-inspirált modellezés etikai szempontból nem helyettesíti a végső, </w:t>
      </w:r>
      <w:r w:rsidR="00FE4F64">
        <w:lastRenderedPageBreak/>
        <w:t>humán döntéshozatalt, hanem csak támogatja azt. A döntések utáni felelősség minden esetben a döntéshozót terheli.</w:t>
      </w:r>
      <w:r>
        <w:t xml:space="preserve"> </w:t>
      </w:r>
      <w:r w:rsidR="00FE4F64">
        <w:t>Ami a technológiát illeti,</w:t>
      </w:r>
      <w:r>
        <w:t xml:space="preserve"> a modell kialakításához szükséges hardware és software eszközök (Laptop, Python, COCO Y0, nyílt API-k) ma már </w:t>
      </w:r>
      <w:r w:rsidR="00FE4F64">
        <w:t xml:space="preserve">szabadon </w:t>
      </w:r>
      <w:r>
        <w:t xml:space="preserve">rendelkezésre állnak, így ez nem akadályozza a megvalósítást sem. </w:t>
      </w:r>
    </w:p>
    <w:p w14:paraId="049DBB86" w14:textId="26DA8DD0" w:rsidR="00D9767F" w:rsidRDefault="00D9767F" w:rsidP="00CE0D1C">
      <w:r w:rsidRPr="00D9767F">
        <w:t>Jövőbeli kutatási irányként javas</w:t>
      </w:r>
      <w:r>
        <w:t xml:space="preserve">lom – az eddigi homogenitás mérések továbbfejlesztése mellett – </w:t>
      </w:r>
      <w:r w:rsidRPr="00D9767F">
        <w:t>az eurozóna HICP inflációs adatainak kvantum-inspirált elemzés</w:t>
      </w:r>
      <w:r>
        <w:t>ét</w:t>
      </w:r>
      <w:r w:rsidRPr="00D9767F">
        <w:t>, amely 2000 és 202</w:t>
      </w:r>
      <w:r>
        <w:t>5</w:t>
      </w:r>
      <w:r w:rsidRPr="00D9767F">
        <w:t xml:space="preserve"> között vizsgálná a monetáris politika heterogén hatását a tagállamok inflációs homogenitására.</w:t>
      </w:r>
    </w:p>
    <w:p w14:paraId="14AF8961" w14:textId="363D2309" w:rsidR="006769C5" w:rsidRDefault="006A3CB8" w:rsidP="00CE0D1C">
      <w:r w:rsidRPr="006A3CB8">
        <w:t>Ha a kvantum-inspirált módszertan empirikus validációja sikeres lesz, akkor ez a megközelítés jelentő</w:t>
      </w:r>
      <w:r w:rsidR="003E67FB">
        <w:t xml:space="preserve">sen hozzájárulhat </w:t>
      </w:r>
      <w:r w:rsidRPr="006A3CB8">
        <w:t>a 21. század társadalmi-gazdasági monitoringrendszereinek fejlesztésé</w:t>
      </w:r>
      <w:r w:rsidR="003E67FB">
        <w:t>hez</w:t>
      </w:r>
      <w:r w:rsidRPr="006A3CB8">
        <w:t>, különösen a korai válságjelző rendszerek és többszcenáriós politikai döntéstámogatás területén.</w:t>
      </w:r>
    </w:p>
    <w:p w14:paraId="6DAD6B88" w14:textId="77777777" w:rsidR="00A40917" w:rsidRPr="003E168A" w:rsidRDefault="00A40917" w:rsidP="006769C5">
      <w:pPr>
        <w:ind w:firstLine="0"/>
      </w:pPr>
    </w:p>
    <w:p w14:paraId="7F586907" w14:textId="77777777" w:rsidR="00A40917" w:rsidRPr="003E168A" w:rsidRDefault="00A40917" w:rsidP="00A40917"/>
    <w:p w14:paraId="1F0F31B8" w14:textId="77777777" w:rsidR="00A40917" w:rsidRPr="003E168A" w:rsidRDefault="00A40917" w:rsidP="00A40917"/>
    <w:p w14:paraId="56206491" w14:textId="33BEF135" w:rsidR="00A40917" w:rsidRPr="003E168A" w:rsidRDefault="00CB2459" w:rsidP="00CB2459">
      <w:pPr>
        <w:spacing w:line="278" w:lineRule="auto"/>
        <w:ind w:firstLine="0"/>
        <w:jc w:val="left"/>
      </w:pPr>
      <w:r w:rsidRPr="003E168A">
        <w:br w:type="page"/>
      </w:r>
    </w:p>
    <w:p w14:paraId="20FCF9C1" w14:textId="6E1C135E" w:rsidR="005B2D7F" w:rsidRPr="004845F4" w:rsidRDefault="00A40917" w:rsidP="004845F4">
      <w:pPr>
        <w:pStyle w:val="fejezet1"/>
        <w:rPr>
          <w:lang w:val="hu-HU"/>
        </w:rPr>
      </w:pPr>
      <w:bookmarkStart w:id="24" w:name="_Toc212910395"/>
      <w:r w:rsidRPr="003E168A">
        <w:rPr>
          <w:lang w:val="hu-HU"/>
        </w:rPr>
        <w:lastRenderedPageBreak/>
        <w:t>Irodalomjegyzék</w:t>
      </w:r>
      <w:bookmarkEnd w:id="24"/>
    </w:p>
    <w:p w14:paraId="42AE89BB" w14:textId="77777777" w:rsidR="000B49BB" w:rsidRPr="000B49BB" w:rsidRDefault="000B49BB" w:rsidP="00747F9E">
      <w:pPr>
        <w:ind w:firstLine="284"/>
      </w:pPr>
      <w:proofErr w:type="spellStart"/>
      <w:r w:rsidRPr="000B49BB">
        <w:t>Ampudia</w:t>
      </w:r>
      <w:proofErr w:type="spellEnd"/>
      <w:r w:rsidRPr="000B49BB">
        <w:t xml:space="preserve">, Miguel – Georgarakos, </w:t>
      </w:r>
      <w:proofErr w:type="spellStart"/>
      <w:r w:rsidRPr="000B49BB">
        <w:t>Dimitris</w:t>
      </w:r>
      <w:proofErr w:type="spellEnd"/>
      <w:r w:rsidRPr="000B49BB">
        <w:t xml:space="preserve"> – </w:t>
      </w:r>
      <w:proofErr w:type="spellStart"/>
      <w:r w:rsidRPr="000B49BB">
        <w:t>Slacalek</w:t>
      </w:r>
      <w:proofErr w:type="spellEnd"/>
      <w:r w:rsidRPr="000B49BB">
        <w:t xml:space="preserve">, </w:t>
      </w:r>
      <w:proofErr w:type="spellStart"/>
      <w:r w:rsidRPr="000B49BB">
        <w:t>Jiri</w:t>
      </w:r>
      <w:proofErr w:type="spellEnd"/>
      <w:r w:rsidRPr="000B49BB">
        <w:t xml:space="preserve"> – </w:t>
      </w:r>
      <w:proofErr w:type="spellStart"/>
      <w:r w:rsidRPr="000B49BB">
        <w:t>Tristani</w:t>
      </w:r>
      <w:proofErr w:type="spellEnd"/>
      <w:r w:rsidRPr="000B49BB">
        <w:t xml:space="preserve">, </w:t>
      </w:r>
      <w:proofErr w:type="spellStart"/>
      <w:r w:rsidRPr="000B49BB">
        <w:t>Oreste</w:t>
      </w:r>
      <w:proofErr w:type="spellEnd"/>
      <w:r w:rsidRPr="000B49BB">
        <w:t xml:space="preserve"> – </w:t>
      </w:r>
      <w:proofErr w:type="spellStart"/>
      <w:r w:rsidRPr="000B49BB">
        <w:t>Vermeulen</w:t>
      </w:r>
      <w:proofErr w:type="spellEnd"/>
      <w:r w:rsidRPr="000B49BB">
        <w:t xml:space="preserve">, Philip – </w:t>
      </w:r>
      <w:proofErr w:type="spellStart"/>
      <w:r w:rsidRPr="000B49BB">
        <w:t>Violante</w:t>
      </w:r>
      <w:proofErr w:type="spellEnd"/>
      <w:r w:rsidRPr="000B49BB">
        <w:t xml:space="preserve">, Giovanni L. (2018): </w:t>
      </w:r>
      <w:proofErr w:type="spellStart"/>
      <w:r w:rsidRPr="000B49BB">
        <w:t>Monetary</w:t>
      </w:r>
      <w:proofErr w:type="spellEnd"/>
      <w:r w:rsidRPr="000B49BB">
        <w:t xml:space="preserve"> policy and household </w:t>
      </w:r>
      <w:proofErr w:type="spellStart"/>
      <w:r w:rsidRPr="000B49BB">
        <w:t>inequality</w:t>
      </w:r>
      <w:proofErr w:type="spellEnd"/>
      <w:r w:rsidRPr="000B49BB">
        <w:t xml:space="preserve">. ECB </w:t>
      </w:r>
      <w:proofErr w:type="spellStart"/>
      <w:r w:rsidRPr="000B49BB">
        <w:t>Working</w:t>
      </w:r>
      <w:proofErr w:type="spellEnd"/>
      <w:r w:rsidRPr="000B49BB">
        <w:t xml:space="preserve"> </w:t>
      </w:r>
      <w:proofErr w:type="spellStart"/>
      <w:r w:rsidRPr="000B49BB">
        <w:t>Paper</w:t>
      </w:r>
      <w:proofErr w:type="spellEnd"/>
      <w:r w:rsidRPr="000B49BB">
        <w:t xml:space="preserve"> </w:t>
      </w:r>
      <w:proofErr w:type="spellStart"/>
      <w:r w:rsidRPr="000B49BB">
        <w:t>Series</w:t>
      </w:r>
      <w:proofErr w:type="spellEnd"/>
      <w:r w:rsidRPr="000B49BB">
        <w:t>, No. 2170. </w:t>
      </w:r>
      <w:hyperlink r:id="rId10" w:tgtFrame="_blank" w:history="1">
        <w:r w:rsidRPr="000B49BB">
          <w:rPr>
            <w:rStyle w:val="Hiperhivatkozs"/>
            <w:b/>
            <w:bCs/>
          </w:rPr>
          <w:t>https://www.ecb.europa.eu/pub/pdf/scpwps/ecb.wp2170.en.pdf</w:t>
        </w:r>
      </w:hyperlink>
    </w:p>
    <w:p w14:paraId="3CE6A7EC" w14:textId="77777777" w:rsidR="000B49BB" w:rsidRPr="000B49BB" w:rsidRDefault="000B49BB" w:rsidP="00747F9E">
      <w:pPr>
        <w:ind w:firstLine="284"/>
      </w:pPr>
      <w:r w:rsidRPr="000B49BB">
        <w:t xml:space="preserve">Arthur, William Brian (1999): </w:t>
      </w:r>
      <w:proofErr w:type="spellStart"/>
      <w:r w:rsidRPr="000B49BB">
        <w:t>Complexity</w:t>
      </w:r>
      <w:proofErr w:type="spellEnd"/>
      <w:r w:rsidRPr="000B49BB">
        <w:t xml:space="preserve"> and </w:t>
      </w:r>
      <w:proofErr w:type="spellStart"/>
      <w:r w:rsidRPr="000B49BB">
        <w:t>the</w:t>
      </w:r>
      <w:proofErr w:type="spellEnd"/>
      <w:r w:rsidRPr="000B49BB">
        <w:t xml:space="preserve"> </w:t>
      </w:r>
      <w:proofErr w:type="spellStart"/>
      <w:r w:rsidRPr="000B49BB">
        <w:t>economy</w:t>
      </w:r>
      <w:proofErr w:type="spellEnd"/>
      <w:r w:rsidRPr="000B49BB">
        <w:t>. Science, 284. évfolyam 5411. szám, 107-109. </w:t>
      </w:r>
      <w:hyperlink r:id="rId11" w:tgtFrame="_blank" w:history="1">
        <w:r w:rsidRPr="000B49BB">
          <w:rPr>
            <w:rStyle w:val="Hiperhivatkozs"/>
            <w:b/>
            <w:bCs/>
          </w:rPr>
          <w:t>https://doi.org/10.1126/science.284.5411.107</w:t>
        </w:r>
      </w:hyperlink>
    </w:p>
    <w:p w14:paraId="77C4CC2B" w14:textId="77777777" w:rsidR="000B49BB" w:rsidRPr="000B49BB" w:rsidRDefault="000B49BB" w:rsidP="00747F9E">
      <w:pPr>
        <w:ind w:firstLine="284"/>
      </w:pPr>
      <w:r w:rsidRPr="000B49BB">
        <w:t xml:space="preserve">Arthur, William Brian (2021): </w:t>
      </w:r>
      <w:proofErr w:type="spellStart"/>
      <w:r w:rsidRPr="000B49BB">
        <w:t>Foundations</w:t>
      </w:r>
      <w:proofErr w:type="spellEnd"/>
      <w:r w:rsidRPr="000B49BB">
        <w:t xml:space="preserve"> of </w:t>
      </w:r>
      <w:proofErr w:type="spellStart"/>
      <w:r w:rsidRPr="000B49BB">
        <w:t>complexity</w:t>
      </w:r>
      <w:proofErr w:type="spellEnd"/>
      <w:r w:rsidRPr="000B49BB">
        <w:t xml:space="preserve"> </w:t>
      </w:r>
      <w:proofErr w:type="spellStart"/>
      <w:r w:rsidRPr="000B49BB">
        <w:t>economics</w:t>
      </w:r>
      <w:proofErr w:type="spellEnd"/>
      <w:r w:rsidRPr="000B49BB">
        <w:t xml:space="preserve">. </w:t>
      </w:r>
      <w:proofErr w:type="spellStart"/>
      <w:r w:rsidRPr="000B49BB">
        <w:t>Nature</w:t>
      </w:r>
      <w:proofErr w:type="spellEnd"/>
      <w:r w:rsidRPr="000B49BB">
        <w:t xml:space="preserve"> </w:t>
      </w:r>
      <w:proofErr w:type="spellStart"/>
      <w:r w:rsidRPr="000B49BB">
        <w:t>Reviews</w:t>
      </w:r>
      <w:proofErr w:type="spellEnd"/>
      <w:r w:rsidRPr="000B49BB">
        <w:t xml:space="preserve"> </w:t>
      </w:r>
      <w:proofErr w:type="spellStart"/>
      <w:r w:rsidRPr="000B49BB">
        <w:t>Physics</w:t>
      </w:r>
      <w:proofErr w:type="spellEnd"/>
      <w:r w:rsidRPr="000B49BB">
        <w:t>, 3. évfolyam, 136-145. </w:t>
      </w:r>
      <w:hyperlink r:id="rId12" w:tgtFrame="_blank" w:history="1">
        <w:r w:rsidRPr="000B49BB">
          <w:rPr>
            <w:rStyle w:val="Hiperhivatkozs"/>
            <w:b/>
            <w:bCs/>
          </w:rPr>
          <w:t>https://doi.org/10.1038/s42254-020-00273-3</w:t>
        </w:r>
      </w:hyperlink>
    </w:p>
    <w:p w14:paraId="53D979BE" w14:textId="77777777" w:rsidR="000B49BB" w:rsidRPr="000B49BB" w:rsidRDefault="000B49BB" w:rsidP="00747F9E">
      <w:pPr>
        <w:ind w:firstLine="284"/>
      </w:pPr>
      <w:proofErr w:type="spellStart"/>
      <w:r w:rsidRPr="000B49BB">
        <w:t>Atkinson</w:t>
      </w:r>
      <w:proofErr w:type="spellEnd"/>
      <w:r w:rsidRPr="000B49BB">
        <w:t xml:space="preserve">, Anthony Barnes – </w:t>
      </w:r>
      <w:proofErr w:type="spellStart"/>
      <w:r w:rsidRPr="000B49BB">
        <w:t>Morelli</w:t>
      </w:r>
      <w:proofErr w:type="spellEnd"/>
      <w:r w:rsidRPr="000B49BB">
        <w:t xml:space="preserve">, </w:t>
      </w:r>
      <w:proofErr w:type="spellStart"/>
      <w:r w:rsidRPr="000B49BB">
        <w:t>Salvatore</w:t>
      </w:r>
      <w:proofErr w:type="spellEnd"/>
      <w:r w:rsidRPr="000B49BB">
        <w:t xml:space="preserve"> (2014): The </w:t>
      </w:r>
      <w:proofErr w:type="spellStart"/>
      <w:r w:rsidRPr="000B49BB">
        <w:t>Chartbook</w:t>
      </w:r>
      <w:proofErr w:type="spellEnd"/>
      <w:r w:rsidRPr="000B49BB">
        <w:t xml:space="preserve"> of </w:t>
      </w:r>
      <w:proofErr w:type="spellStart"/>
      <w:r w:rsidRPr="000B49BB">
        <w:t>Economic</w:t>
      </w:r>
      <w:proofErr w:type="spellEnd"/>
      <w:r w:rsidRPr="000B49BB">
        <w:t xml:space="preserve"> </w:t>
      </w:r>
      <w:proofErr w:type="spellStart"/>
      <w:r w:rsidRPr="000B49BB">
        <w:t>Inequality</w:t>
      </w:r>
      <w:proofErr w:type="spellEnd"/>
      <w:r w:rsidRPr="000B49BB">
        <w:t>. </w:t>
      </w:r>
      <w:hyperlink r:id="rId13" w:tgtFrame="_blank" w:history="1">
        <w:r w:rsidRPr="000B49BB">
          <w:rPr>
            <w:rStyle w:val="Hiperhivatkozs"/>
            <w:b/>
            <w:bCs/>
          </w:rPr>
          <w:t>https://chartbookofeconomicinequality.com/</w:t>
        </w:r>
      </w:hyperlink>
    </w:p>
    <w:p w14:paraId="59204C0F" w14:textId="77777777" w:rsidR="000B49BB" w:rsidRPr="000B49BB" w:rsidRDefault="000B49BB" w:rsidP="00747F9E">
      <w:pPr>
        <w:ind w:firstLine="284"/>
      </w:pPr>
      <w:proofErr w:type="spellStart"/>
      <w:r w:rsidRPr="000B49BB">
        <w:t>Atkinson</w:t>
      </w:r>
      <w:proofErr w:type="spellEnd"/>
      <w:r w:rsidRPr="000B49BB">
        <w:t xml:space="preserve">, Anthony Barnes – </w:t>
      </w:r>
      <w:proofErr w:type="spellStart"/>
      <w:r w:rsidRPr="000B49BB">
        <w:t>Morelli</w:t>
      </w:r>
      <w:proofErr w:type="spellEnd"/>
      <w:r w:rsidRPr="000B49BB">
        <w:t xml:space="preserve">, </w:t>
      </w:r>
      <w:proofErr w:type="spellStart"/>
      <w:r w:rsidRPr="000B49BB">
        <w:t>Salvatore</w:t>
      </w:r>
      <w:proofErr w:type="spellEnd"/>
      <w:r w:rsidRPr="000B49BB">
        <w:t xml:space="preserve"> (2015): </w:t>
      </w:r>
      <w:proofErr w:type="spellStart"/>
      <w:r w:rsidRPr="000B49BB">
        <w:t>Inequality</w:t>
      </w:r>
      <w:proofErr w:type="spellEnd"/>
      <w:r w:rsidRPr="000B49BB">
        <w:t xml:space="preserve"> and banking </w:t>
      </w:r>
      <w:proofErr w:type="spellStart"/>
      <w:r w:rsidRPr="000B49BB">
        <w:t>crises</w:t>
      </w:r>
      <w:proofErr w:type="spellEnd"/>
      <w:r w:rsidRPr="000B49BB">
        <w:t xml:space="preserve">: A </w:t>
      </w:r>
      <w:proofErr w:type="spellStart"/>
      <w:r w:rsidRPr="000B49BB">
        <w:t>first</w:t>
      </w:r>
      <w:proofErr w:type="spellEnd"/>
      <w:r w:rsidRPr="000B49BB">
        <w:t xml:space="preserve"> </w:t>
      </w:r>
      <w:proofErr w:type="spellStart"/>
      <w:r w:rsidRPr="000B49BB">
        <w:t>look</w:t>
      </w:r>
      <w:proofErr w:type="spellEnd"/>
      <w:r w:rsidRPr="000B49BB">
        <w:t xml:space="preserve">. In: </w:t>
      </w:r>
      <w:proofErr w:type="spellStart"/>
      <w:r w:rsidRPr="000B49BB">
        <w:t>Atkinson</w:t>
      </w:r>
      <w:proofErr w:type="spellEnd"/>
      <w:r w:rsidRPr="000B49BB">
        <w:t xml:space="preserve">, Anthony Barnes – </w:t>
      </w:r>
      <w:proofErr w:type="spellStart"/>
      <w:r w:rsidRPr="000B49BB">
        <w:t>Bourguignon</w:t>
      </w:r>
      <w:proofErr w:type="spellEnd"/>
      <w:r w:rsidRPr="000B49BB">
        <w:t xml:space="preserve">, François (szerk.): </w:t>
      </w:r>
      <w:proofErr w:type="spellStart"/>
      <w:r w:rsidRPr="000B49BB">
        <w:t>Handbook</w:t>
      </w:r>
      <w:proofErr w:type="spellEnd"/>
      <w:r w:rsidRPr="000B49BB">
        <w:t xml:space="preserve"> of </w:t>
      </w:r>
      <w:proofErr w:type="spellStart"/>
      <w:r w:rsidRPr="000B49BB">
        <w:t>income</w:t>
      </w:r>
      <w:proofErr w:type="spellEnd"/>
      <w:r w:rsidRPr="000B49BB">
        <w:t xml:space="preserve"> </w:t>
      </w:r>
      <w:proofErr w:type="spellStart"/>
      <w:r w:rsidRPr="000B49BB">
        <w:t>distribution</w:t>
      </w:r>
      <w:proofErr w:type="spellEnd"/>
      <w:r w:rsidRPr="000B49BB">
        <w:t xml:space="preserve">. 2. kötet, Amsterdam, </w:t>
      </w:r>
      <w:proofErr w:type="spellStart"/>
      <w:r w:rsidRPr="000B49BB">
        <w:t>Elsevier</w:t>
      </w:r>
      <w:proofErr w:type="spellEnd"/>
      <w:r w:rsidRPr="000B49BB">
        <w:t>, 1583-1650. </w:t>
      </w:r>
      <w:hyperlink r:id="rId14" w:tgtFrame="_blank" w:history="1">
        <w:r w:rsidRPr="000B49BB">
          <w:rPr>
            <w:rStyle w:val="Hiperhivatkozs"/>
            <w:b/>
            <w:bCs/>
          </w:rPr>
          <w:t>https://www.tony-atkinson.com/researchpapers/Atkinson_and_Morelli_-_Inequality_and_Banking_Crises_-_A_First_Look.pdf</w:t>
        </w:r>
      </w:hyperlink>
    </w:p>
    <w:p w14:paraId="4712B3B7" w14:textId="77777777" w:rsidR="000B49BB" w:rsidRPr="000B49BB" w:rsidRDefault="000B49BB" w:rsidP="00747F9E">
      <w:pPr>
        <w:ind w:firstLine="284"/>
      </w:pPr>
      <w:proofErr w:type="spellStart"/>
      <w:r w:rsidRPr="000B49BB">
        <w:t>Barro</w:t>
      </w:r>
      <w:proofErr w:type="spellEnd"/>
      <w:r w:rsidRPr="000B49BB">
        <w:t xml:space="preserve">, Robert Joseph – </w:t>
      </w:r>
      <w:proofErr w:type="spellStart"/>
      <w:r w:rsidRPr="000B49BB">
        <w:t>Sala</w:t>
      </w:r>
      <w:proofErr w:type="spellEnd"/>
      <w:r w:rsidRPr="000B49BB">
        <w:t xml:space="preserve">-i-Martin, Xavier (1991): </w:t>
      </w:r>
      <w:proofErr w:type="spellStart"/>
      <w:r w:rsidRPr="000B49BB">
        <w:t>Convergence</w:t>
      </w:r>
      <w:proofErr w:type="spellEnd"/>
      <w:r w:rsidRPr="000B49BB">
        <w:t xml:space="preserve"> </w:t>
      </w:r>
      <w:proofErr w:type="spellStart"/>
      <w:r w:rsidRPr="000B49BB">
        <w:t>across</w:t>
      </w:r>
      <w:proofErr w:type="spellEnd"/>
      <w:r w:rsidRPr="000B49BB">
        <w:t xml:space="preserve"> </w:t>
      </w:r>
      <w:proofErr w:type="spellStart"/>
      <w:r w:rsidRPr="000B49BB">
        <w:t>states</w:t>
      </w:r>
      <w:proofErr w:type="spellEnd"/>
      <w:r w:rsidRPr="000B49BB">
        <w:t xml:space="preserve"> and </w:t>
      </w:r>
      <w:proofErr w:type="spellStart"/>
      <w:r w:rsidRPr="000B49BB">
        <w:t>regions</w:t>
      </w:r>
      <w:proofErr w:type="spellEnd"/>
      <w:r w:rsidRPr="000B49BB">
        <w:t xml:space="preserve">. </w:t>
      </w:r>
      <w:proofErr w:type="spellStart"/>
      <w:r w:rsidRPr="000B49BB">
        <w:t>Brookings</w:t>
      </w:r>
      <w:proofErr w:type="spellEnd"/>
      <w:r w:rsidRPr="000B49BB">
        <w:t xml:space="preserve"> </w:t>
      </w:r>
      <w:proofErr w:type="spellStart"/>
      <w:r w:rsidRPr="000B49BB">
        <w:t>Papers</w:t>
      </w:r>
      <w:proofErr w:type="spellEnd"/>
      <w:r w:rsidRPr="000B49BB">
        <w:t xml:space="preserve"> </w:t>
      </w:r>
      <w:proofErr w:type="spellStart"/>
      <w:r w:rsidRPr="000B49BB">
        <w:t>on</w:t>
      </w:r>
      <w:proofErr w:type="spellEnd"/>
      <w:r w:rsidRPr="000B49BB">
        <w:t xml:space="preserve"> </w:t>
      </w:r>
      <w:proofErr w:type="spellStart"/>
      <w:r w:rsidRPr="000B49BB">
        <w:t>Economic</w:t>
      </w:r>
      <w:proofErr w:type="spellEnd"/>
      <w:r w:rsidRPr="000B49BB">
        <w:t xml:space="preserve"> </w:t>
      </w:r>
      <w:proofErr w:type="spellStart"/>
      <w:r w:rsidRPr="000B49BB">
        <w:t>Activity</w:t>
      </w:r>
      <w:proofErr w:type="spellEnd"/>
      <w:r w:rsidRPr="000B49BB">
        <w:t>, 1991. évfolyam 1. szám, 107-182. </w:t>
      </w:r>
      <w:hyperlink r:id="rId15" w:tgtFrame="_blank" w:history="1">
        <w:r w:rsidRPr="000B49BB">
          <w:rPr>
            <w:rStyle w:val="Hiperhivatkozs"/>
            <w:b/>
            <w:bCs/>
          </w:rPr>
          <w:t>https://doi.org/10.2307/2534639</w:t>
        </w:r>
      </w:hyperlink>
    </w:p>
    <w:p w14:paraId="33854C46" w14:textId="77777777" w:rsidR="000B49BB" w:rsidRPr="000B49BB" w:rsidRDefault="000B49BB" w:rsidP="00747F9E">
      <w:pPr>
        <w:ind w:firstLine="284"/>
      </w:pPr>
      <w:proofErr w:type="spellStart"/>
      <w:r w:rsidRPr="000B49BB">
        <w:t>Barro</w:t>
      </w:r>
      <w:proofErr w:type="spellEnd"/>
      <w:r w:rsidRPr="000B49BB">
        <w:t xml:space="preserve">, Robert Joseph – </w:t>
      </w:r>
      <w:proofErr w:type="spellStart"/>
      <w:r w:rsidRPr="000B49BB">
        <w:t>Sala</w:t>
      </w:r>
      <w:proofErr w:type="spellEnd"/>
      <w:r w:rsidRPr="000B49BB">
        <w:t xml:space="preserve">-i-Martin, Xavier (1992): </w:t>
      </w:r>
      <w:proofErr w:type="spellStart"/>
      <w:r w:rsidRPr="000B49BB">
        <w:t>Convergence</w:t>
      </w:r>
      <w:proofErr w:type="spellEnd"/>
      <w:r w:rsidRPr="000B49BB">
        <w:t xml:space="preserve">. Journal of </w:t>
      </w:r>
      <w:proofErr w:type="spellStart"/>
      <w:r w:rsidRPr="000B49BB">
        <w:t>Political</w:t>
      </w:r>
      <w:proofErr w:type="spellEnd"/>
      <w:r w:rsidRPr="000B49BB">
        <w:t xml:space="preserve"> </w:t>
      </w:r>
      <w:proofErr w:type="spellStart"/>
      <w:r w:rsidRPr="000B49BB">
        <w:t>Economy</w:t>
      </w:r>
      <w:proofErr w:type="spellEnd"/>
      <w:r w:rsidRPr="000B49BB">
        <w:t>, 100. évfolyam 2. szám, 223-251. </w:t>
      </w:r>
      <w:hyperlink r:id="rId16" w:tgtFrame="_blank" w:history="1">
        <w:r w:rsidRPr="000B49BB">
          <w:rPr>
            <w:rStyle w:val="Hiperhivatkozs"/>
            <w:b/>
            <w:bCs/>
          </w:rPr>
          <w:t>https://doi.org/10.1086/261816</w:t>
        </w:r>
      </w:hyperlink>
    </w:p>
    <w:p w14:paraId="1BCBD646" w14:textId="77777777" w:rsidR="000B49BB" w:rsidRPr="000B49BB" w:rsidRDefault="000B49BB" w:rsidP="00747F9E">
      <w:pPr>
        <w:ind w:firstLine="284"/>
      </w:pPr>
      <w:proofErr w:type="spellStart"/>
      <w:r w:rsidRPr="000B49BB">
        <w:t>Baum</w:t>
      </w:r>
      <w:proofErr w:type="spellEnd"/>
      <w:r w:rsidRPr="000B49BB">
        <w:t xml:space="preserve">, Christopher – </w:t>
      </w:r>
      <w:proofErr w:type="spellStart"/>
      <w:r w:rsidRPr="000B49BB">
        <w:t>Gokhale</w:t>
      </w:r>
      <w:proofErr w:type="spellEnd"/>
      <w:r w:rsidRPr="000B49BB">
        <w:t xml:space="preserve">, </w:t>
      </w:r>
      <w:proofErr w:type="spellStart"/>
      <w:r w:rsidRPr="000B49BB">
        <w:t>Pranav</w:t>
      </w:r>
      <w:proofErr w:type="spellEnd"/>
      <w:r w:rsidRPr="000B49BB">
        <w:t xml:space="preserve"> – </w:t>
      </w:r>
      <w:proofErr w:type="spellStart"/>
      <w:r w:rsidRPr="000B49BB">
        <w:t>Pistoia</w:t>
      </w:r>
      <w:proofErr w:type="spellEnd"/>
      <w:r w:rsidRPr="000B49BB">
        <w:t xml:space="preserve">, Marco (2019): </w:t>
      </w:r>
      <w:proofErr w:type="spellStart"/>
      <w:r w:rsidRPr="000B49BB">
        <w:t>Quantum</w:t>
      </w:r>
      <w:proofErr w:type="spellEnd"/>
      <w:r w:rsidRPr="000B49BB">
        <w:t xml:space="preserve"> </w:t>
      </w:r>
      <w:proofErr w:type="spellStart"/>
      <w:r w:rsidRPr="000B49BB">
        <w:t>computing</w:t>
      </w:r>
      <w:proofErr w:type="spellEnd"/>
      <w:r w:rsidRPr="000B49BB">
        <w:t xml:space="preserve"> in </w:t>
      </w:r>
      <w:proofErr w:type="spellStart"/>
      <w:r w:rsidRPr="000B49BB">
        <w:t>intelligent</w:t>
      </w:r>
      <w:proofErr w:type="spellEnd"/>
      <w:r w:rsidRPr="000B49BB">
        <w:t xml:space="preserve"> </w:t>
      </w:r>
      <w:proofErr w:type="spellStart"/>
      <w:r w:rsidRPr="000B49BB">
        <w:t>transportation</w:t>
      </w:r>
      <w:proofErr w:type="spellEnd"/>
      <w:r w:rsidRPr="000B49BB">
        <w:t xml:space="preserve"> </w:t>
      </w:r>
      <w:proofErr w:type="spellStart"/>
      <w:r w:rsidRPr="000B49BB">
        <w:t>systems</w:t>
      </w:r>
      <w:proofErr w:type="spellEnd"/>
      <w:r w:rsidRPr="000B49BB">
        <w:t xml:space="preserve">. </w:t>
      </w:r>
      <w:proofErr w:type="spellStart"/>
      <w:r w:rsidRPr="000B49BB">
        <w:t>arXiv</w:t>
      </w:r>
      <w:proofErr w:type="spellEnd"/>
      <w:r w:rsidRPr="000B49BB">
        <w:t xml:space="preserve"> </w:t>
      </w:r>
      <w:proofErr w:type="spellStart"/>
      <w:r w:rsidRPr="000B49BB">
        <w:t>preprint</w:t>
      </w:r>
      <w:proofErr w:type="spellEnd"/>
      <w:r w:rsidRPr="000B49BB">
        <w:t xml:space="preserve"> arXiv:2406.00862. </w:t>
      </w:r>
      <w:hyperlink r:id="rId17" w:tgtFrame="_blank" w:history="1">
        <w:r w:rsidRPr="000B49BB">
          <w:rPr>
            <w:rStyle w:val="Hiperhivatkozs"/>
            <w:b/>
            <w:bCs/>
          </w:rPr>
          <w:t>https://arxiv.org/abs/2406.00862</w:t>
        </w:r>
      </w:hyperlink>
    </w:p>
    <w:p w14:paraId="75E801C9" w14:textId="77777777" w:rsidR="000B49BB" w:rsidRPr="000B49BB" w:rsidRDefault="000B49BB" w:rsidP="00747F9E">
      <w:pPr>
        <w:ind w:firstLine="284"/>
      </w:pPr>
      <w:proofErr w:type="spellStart"/>
      <w:r w:rsidRPr="000B49BB">
        <w:t>Benassy-Quéré</w:t>
      </w:r>
      <w:proofErr w:type="spellEnd"/>
      <w:r w:rsidRPr="000B49BB">
        <w:t xml:space="preserve">, </w:t>
      </w:r>
      <w:proofErr w:type="spellStart"/>
      <w:r w:rsidRPr="000B49BB">
        <w:t>Agnès</w:t>
      </w:r>
      <w:proofErr w:type="spellEnd"/>
      <w:r w:rsidRPr="000B49BB">
        <w:t xml:space="preserve"> – </w:t>
      </w:r>
      <w:proofErr w:type="spellStart"/>
      <w:r w:rsidRPr="000B49BB">
        <w:t>Gourinchas</w:t>
      </w:r>
      <w:proofErr w:type="spellEnd"/>
      <w:r w:rsidRPr="000B49BB">
        <w:t xml:space="preserve">, Pierre-Olivier – Martin, Philippe – </w:t>
      </w:r>
      <w:proofErr w:type="spellStart"/>
      <w:r w:rsidRPr="000B49BB">
        <w:t>Plantin</w:t>
      </w:r>
      <w:proofErr w:type="spellEnd"/>
      <w:r w:rsidRPr="000B49BB">
        <w:t xml:space="preserve">, </w:t>
      </w:r>
      <w:proofErr w:type="spellStart"/>
      <w:r w:rsidRPr="000B49BB">
        <w:t>Guillaume</w:t>
      </w:r>
      <w:proofErr w:type="spellEnd"/>
      <w:r w:rsidRPr="000B49BB">
        <w:t xml:space="preserve"> (2025): </w:t>
      </w:r>
      <w:proofErr w:type="spellStart"/>
      <w:r w:rsidRPr="000B49BB">
        <w:t>Heterogeneity</w:t>
      </w:r>
      <w:proofErr w:type="spellEnd"/>
      <w:r w:rsidRPr="000B49BB">
        <w:t xml:space="preserve"> in </w:t>
      </w:r>
      <w:proofErr w:type="spellStart"/>
      <w:r w:rsidRPr="000B49BB">
        <w:t>the</w:t>
      </w:r>
      <w:proofErr w:type="spellEnd"/>
      <w:r w:rsidRPr="000B49BB">
        <w:t xml:space="preserve"> euro </w:t>
      </w:r>
      <w:proofErr w:type="spellStart"/>
      <w:r w:rsidRPr="000B49BB">
        <w:t>area</w:t>
      </w:r>
      <w:proofErr w:type="spellEnd"/>
      <w:r w:rsidRPr="000B49BB">
        <w:t xml:space="preserve"> and </w:t>
      </w:r>
      <w:proofErr w:type="spellStart"/>
      <w:r w:rsidRPr="000B49BB">
        <w:t>the</w:t>
      </w:r>
      <w:proofErr w:type="spellEnd"/>
      <w:r w:rsidRPr="000B49BB">
        <w:t xml:space="preserve"> </w:t>
      </w:r>
      <w:proofErr w:type="spellStart"/>
      <w:r w:rsidRPr="000B49BB">
        <w:t>transmission</w:t>
      </w:r>
      <w:proofErr w:type="spellEnd"/>
      <w:r w:rsidRPr="000B49BB">
        <w:t xml:space="preserve"> of </w:t>
      </w:r>
      <w:proofErr w:type="spellStart"/>
      <w:r w:rsidRPr="000B49BB">
        <w:t>monetary</w:t>
      </w:r>
      <w:proofErr w:type="spellEnd"/>
      <w:r w:rsidRPr="000B49BB">
        <w:t xml:space="preserve"> policy. ECB Forum </w:t>
      </w:r>
      <w:proofErr w:type="spellStart"/>
      <w:r w:rsidRPr="000B49BB">
        <w:t>on</w:t>
      </w:r>
      <w:proofErr w:type="spellEnd"/>
      <w:r w:rsidRPr="000B49BB">
        <w:t xml:space="preserve"> </w:t>
      </w:r>
      <w:proofErr w:type="spellStart"/>
      <w:r w:rsidRPr="000B49BB">
        <w:t>Central</w:t>
      </w:r>
      <w:proofErr w:type="spellEnd"/>
      <w:r w:rsidRPr="000B49BB">
        <w:t xml:space="preserve"> Banking. </w:t>
      </w:r>
      <w:hyperlink r:id="rId18" w:tgtFrame="_blank" w:history="1">
        <w:r w:rsidRPr="000B49BB">
          <w:rPr>
            <w:rStyle w:val="Hiperhivatkozs"/>
            <w:b/>
            <w:bCs/>
          </w:rPr>
          <w:t>https://www.ecb.europa.eu/pub/pdf/sintra/ecb.forumcentbankpub2025_Benassy-Quere_paper.en.pdf</w:t>
        </w:r>
      </w:hyperlink>
    </w:p>
    <w:p w14:paraId="60996B5C" w14:textId="77777777" w:rsidR="000B49BB" w:rsidRPr="000B49BB" w:rsidRDefault="000B49BB" w:rsidP="00747F9E">
      <w:pPr>
        <w:ind w:firstLine="284"/>
      </w:pPr>
      <w:proofErr w:type="spellStart"/>
      <w:r w:rsidRPr="000B49BB">
        <w:t>Biamonte</w:t>
      </w:r>
      <w:proofErr w:type="spellEnd"/>
      <w:r w:rsidRPr="000B49BB">
        <w:t xml:space="preserve">, Jacob – </w:t>
      </w:r>
      <w:proofErr w:type="spellStart"/>
      <w:r w:rsidRPr="000B49BB">
        <w:t>Schuld</w:t>
      </w:r>
      <w:proofErr w:type="spellEnd"/>
      <w:r w:rsidRPr="000B49BB">
        <w:t xml:space="preserve">, Maria – Lloyd, </w:t>
      </w:r>
      <w:proofErr w:type="spellStart"/>
      <w:r w:rsidRPr="000B49BB">
        <w:t>Seth</w:t>
      </w:r>
      <w:proofErr w:type="spellEnd"/>
      <w:r w:rsidRPr="000B49BB">
        <w:t xml:space="preserve"> (2017): </w:t>
      </w:r>
      <w:proofErr w:type="spellStart"/>
      <w:r w:rsidRPr="000B49BB">
        <w:t>Quantum</w:t>
      </w:r>
      <w:proofErr w:type="spellEnd"/>
      <w:r w:rsidRPr="000B49BB">
        <w:t xml:space="preserve"> </w:t>
      </w:r>
      <w:proofErr w:type="spellStart"/>
      <w:r w:rsidRPr="000B49BB">
        <w:t>machine</w:t>
      </w:r>
      <w:proofErr w:type="spellEnd"/>
      <w:r w:rsidRPr="000B49BB">
        <w:t xml:space="preserve"> </w:t>
      </w:r>
      <w:proofErr w:type="spellStart"/>
      <w:r w:rsidRPr="000B49BB">
        <w:t>learning</w:t>
      </w:r>
      <w:proofErr w:type="spellEnd"/>
      <w:r w:rsidRPr="000B49BB">
        <w:t xml:space="preserve">. </w:t>
      </w:r>
      <w:proofErr w:type="spellStart"/>
      <w:r w:rsidRPr="000B49BB">
        <w:t>Nature</w:t>
      </w:r>
      <w:proofErr w:type="spellEnd"/>
      <w:r w:rsidRPr="000B49BB">
        <w:t>, 549. évfolyam 7671. szám, 195-202. </w:t>
      </w:r>
      <w:hyperlink r:id="rId19" w:tgtFrame="_blank" w:history="1">
        <w:r w:rsidRPr="000B49BB">
          <w:rPr>
            <w:rStyle w:val="Hiperhivatkozs"/>
            <w:b/>
            <w:bCs/>
          </w:rPr>
          <w:t>https://doi.org/10.1038/nature23474</w:t>
        </w:r>
      </w:hyperlink>
    </w:p>
    <w:p w14:paraId="78B8A5A0" w14:textId="77777777" w:rsidR="000B49BB" w:rsidRPr="000B49BB" w:rsidRDefault="000B49BB" w:rsidP="00747F9E">
      <w:pPr>
        <w:ind w:firstLine="284"/>
      </w:pPr>
      <w:proofErr w:type="spellStart"/>
      <w:r w:rsidRPr="000B49BB">
        <w:t>Bundesbank</w:t>
      </w:r>
      <w:proofErr w:type="spellEnd"/>
      <w:r w:rsidRPr="000B49BB">
        <w:t xml:space="preserve"> (2023): </w:t>
      </w:r>
      <w:proofErr w:type="spellStart"/>
      <w:r w:rsidRPr="000B49BB">
        <w:t>Heterogeneous</w:t>
      </w:r>
      <w:proofErr w:type="spellEnd"/>
      <w:r w:rsidRPr="000B49BB">
        <w:t xml:space="preserve"> </w:t>
      </w:r>
      <w:proofErr w:type="spellStart"/>
      <w:r w:rsidRPr="000B49BB">
        <w:t>impact</w:t>
      </w:r>
      <w:proofErr w:type="spellEnd"/>
      <w:r w:rsidRPr="000B49BB">
        <w:t xml:space="preserve"> of </w:t>
      </w:r>
      <w:proofErr w:type="spellStart"/>
      <w:r w:rsidRPr="000B49BB">
        <w:t>monetary</w:t>
      </w:r>
      <w:proofErr w:type="spellEnd"/>
      <w:r w:rsidRPr="000B49BB">
        <w:t xml:space="preserve"> policy in </w:t>
      </w:r>
      <w:proofErr w:type="spellStart"/>
      <w:r w:rsidRPr="000B49BB">
        <w:t>the</w:t>
      </w:r>
      <w:proofErr w:type="spellEnd"/>
      <w:r w:rsidRPr="000B49BB">
        <w:t xml:space="preserve"> euro </w:t>
      </w:r>
      <w:proofErr w:type="spellStart"/>
      <w:r w:rsidRPr="000B49BB">
        <w:t>area</w:t>
      </w:r>
      <w:proofErr w:type="spellEnd"/>
      <w:r w:rsidRPr="000B49BB">
        <w:t xml:space="preserve">? Deutsche </w:t>
      </w:r>
      <w:proofErr w:type="spellStart"/>
      <w:r w:rsidRPr="000B49BB">
        <w:t>Bundesbank</w:t>
      </w:r>
      <w:proofErr w:type="spellEnd"/>
      <w:r w:rsidRPr="000B49BB">
        <w:t xml:space="preserve"> </w:t>
      </w:r>
      <w:proofErr w:type="spellStart"/>
      <w:r w:rsidRPr="000B49BB">
        <w:t>Monthly</w:t>
      </w:r>
      <w:proofErr w:type="spellEnd"/>
      <w:r w:rsidRPr="000B49BB">
        <w:t xml:space="preserve"> </w:t>
      </w:r>
      <w:proofErr w:type="spellStart"/>
      <w:r w:rsidRPr="000B49BB">
        <w:t>Report</w:t>
      </w:r>
      <w:proofErr w:type="spellEnd"/>
      <w:r w:rsidRPr="000B49BB">
        <w:t xml:space="preserve">, </w:t>
      </w:r>
      <w:proofErr w:type="spellStart"/>
      <w:r w:rsidRPr="000B49BB">
        <w:t>September</w:t>
      </w:r>
      <w:proofErr w:type="spellEnd"/>
      <w:r w:rsidRPr="000B49BB">
        <w:t xml:space="preserve"> </w:t>
      </w:r>
      <w:r w:rsidRPr="000B49BB">
        <w:lastRenderedPageBreak/>
        <w:t>2023. </w:t>
      </w:r>
      <w:hyperlink r:id="rId20" w:tgtFrame="_blank" w:history="1">
        <w:r w:rsidRPr="000B49BB">
          <w:rPr>
            <w:rStyle w:val="Hiperhivatkozs"/>
            <w:b/>
            <w:bCs/>
          </w:rPr>
          <w:t>https://www.bundesbank.de/resource/blob/916768/2a6826a2c846af281357d00c3fbbe5df/mL/2023-09-geldpolitik-data.pdf</w:t>
        </w:r>
      </w:hyperlink>
    </w:p>
    <w:p w14:paraId="5EB6D8F8" w14:textId="77777777" w:rsidR="000B49BB" w:rsidRPr="000B49BB" w:rsidRDefault="000B49BB" w:rsidP="00747F9E">
      <w:pPr>
        <w:ind w:firstLine="284"/>
      </w:pPr>
      <w:proofErr w:type="spellStart"/>
      <w:r w:rsidRPr="000B49BB">
        <w:t>Busemeyer</w:t>
      </w:r>
      <w:proofErr w:type="spellEnd"/>
      <w:r w:rsidRPr="000B49BB">
        <w:t xml:space="preserve">, </w:t>
      </w:r>
      <w:proofErr w:type="spellStart"/>
      <w:r w:rsidRPr="000B49BB">
        <w:t>Jerome</w:t>
      </w:r>
      <w:proofErr w:type="spellEnd"/>
      <w:r w:rsidRPr="000B49BB">
        <w:t xml:space="preserve"> R. – </w:t>
      </w:r>
      <w:proofErr w:type="spellStart"/>
      <w:r w:rsidRPr="000B49BB">
        <w:t>Bruza</w:t>
      </w:r>
      <w:proofErr w:type="spellEnd"/>
      <w:r w:rsidRPr="000B49BB">
        <w:t xml:space="preserve">, Peter D. (2012): </w:t>
      </w:r>
      <w:proofErr w:type="spellStart"/>
      <w:r w:rsidRPr="000B49BB">
        <w:t>Quantum</w:t>
      </w:r>
      <w:proofErr w:type="spellEnd"/>
      <w:r w:rsidRPr="000B49BB">
        <w:t xml:space="preserve"> </w:t>
      </w:r>
      <w:proofErr w:type="spellStart"/>
      <w:r w:rsidRPr="000B49BB">
        <w:t>models</w:t>
      </w:r>
      <w:proofErr w:type="spellEnd"/>
      <w:r w:rsidRPr="000B49BB">
        <w:t xml:space="preserve"> of </w:t>
      </w:r>
      <w:proofErr w:type="spellStart"/>
      <w:r w:rsidRPr="000B49BB">
        <w:t>cognition</w:t>
      </w:r>
      <w:proofErr w:type="spellEnd"/>
      <w:r w:rsidRPr="000B49BB">
        <w:t xml:space="preserve"> and decision. Cambridge, Cambridge University Press. </w:t>
      </w:r>
      <w:hyperlink r:id="rId21" w:tgtFrame="_blank" w:history="1">
        <w:r w:rsidRPr="000B49BB">
          <w:rPr>
            <w:rStyle w:val="Hiperhivatkozs"/>
            <w:b/>
            <w:bCs/>
          </w:rPr>
          <w:t>https://doi.org/10.1017/CBO9780511997716</w:t>
        </w:r>
      </w:hyperlink>
    </w:p>
    <w:p w14:paraId="27AE8706" w14:textId="77777777" w:rsidR="000B49BB" w:rsidRPr="000B49BB" w:rsidRDefault="000B49BB" w:rsidP="00747F9E">
      <w:pPr>
        <w:ind w:firstLine="284"/>
      </w:pPr>
      <w:proofErr w:type="spellStart"/>
      <w:r w:rsidRPr="000B49BB">
        <w:t>Dakos</w:t>
      </w:r>
      <w:proofErr w:type="spellEnd"/>
      <w:r w:rsidRPr="000B49BB">
        <w:t xml:space="preserve">, </w:t>
      </w:r>
      <w:proofErr w:type="spellStart"/>
      <w:r w:rsidRPr="000B49BB">
        <w:t>Vasilis</w:t>
      </w:r>
      <w:proofErr w:type="spellEnd"/>
      <w:r w:rsidRPr="000B49BB">
        <w:t xml:space="preserve"> – </w:t>
      </w:r>
      <w:proofErr w:type="spellStart"/>
      <w:r w:rsidRPr="000B49BB">
        <w:t>Matthews</w:t>
      </w:r>
      <w:proofErr w:type="spellEnd"/>
      <w:r w:rsidRPr="000B49BB">
        <w:t xml:space="preserve">, Blake – </w:t>
      </w:r>
      <w:proofErr w:type="spellStart"/>
      <w:r w:rsidRPr="000B49BB">
        <w:t>Hendry</w:t>
      </w:r>
      <w:proofErr w:type="spellEnd"/>
      <w:r w:rsidRPr="000B49BB">
        <w:t xml:space="preserve">, Andrew P. – </w:t>
      </w:r>
      <w:proofErr w:type="spellStart"/>
      <w:r w:rsidRPr="000B49BB">
        <w:t>Levine</w:t>
      </w:r>
      <w:proofErr w:type="spellEnd"/>
      <w:r w:rsidRPr="000B49BB">
        <w:t xml:space="preserve">, Jonathan – </w:t>
      </w:r>
      <w:proofErr w:type="spellStart"/>
      <w:r w:rsidRPr="000B49BB">
        <w:t>Loeuille</w:t>
      </w:r>
      <w:proofErr w:type="spellEnd"/>
      <w:r w:rsidRPr="000B49BB">
        <w:t xml:space="preserve">, Nicolas – </w:t>
      </w:r>
      <w:proofErr w:type="spellStart"/>
      <w:r w:rsidRPr="000B49BB">
        <w:t>Norberg</w:t>
      </w:r>
      <w:proofErr w:type="spellEnd"/>
      <w:r w:rsidRPr="000B49BB">
        <w:t xml:space="preserve">, Jon – </w:t>
      </w:r>
      <w:proofErr w:type="spellStart"/>
      <w:r w:rsidRPr="000B49BB">
        <w:t>Nosil</w:t>
      </w:r>
      <w:proofErr w:type="spellEnd"/>
      <w:r w:rsidRPr="000B49BB">
        <w:t xml:space="preserve">, Patrik – </w:t>
      </w:r>
      <w:proofErr w:type="spellStart"/>
      <w:r w:rsidRPr="000B49BB">
        <w:t>Scheffer</w:t>
      </w:r>
      <w:proofErr w:type="spellEnd"/>
      <w:r w:rsidRPr="000B49BB">
        <w:t xml:space="preserve">, </w:t>
      </w:r>
      <w:proofErr w:type="spellStart"/>
      <w:r w:rsidRPr="000B49BB">
        <w:t>Marten</w:t>
      </w:r>
      <w:proofErr w:type="spellEnd"/>
      <w:r w:rsidRPr="000B49BB">
        <w:t xml:space="preserve"> – De </w:t>
      </w:r>
      <w:proofErr w:type="spellStart"/>
      <w:r w:rsidRPr="000B49BB">
        <w:t>Meester</w:t>
      </w:r>
      <w:proofErr w:type="spellEnd"/>
      <w:r w:rsidRPr="000B49BB">
        <w:t xml:space="preserve">, </w:t>
      </w:r>
      <w:proofErr w:type="spellStart"/>
      <w:r w:rsidRPr="000B49BB">
        <w:t>Luc</w:t>
      </w:r>
      <w:proofErr w:type="spellEnd"/>
      <w:r w:rsidRPr="000B49BB">
        <w:t xml:space="preserve"> (2016): </w:t>
      </w:r>
      <w:proofErr w:type="spellStart"/>
      <w:r w:rsidRPr="000B49BB">
        <w:t>Rate</w:t>
      </w:r>
      <w:proofErr w:type="spellEnd"/>
      <w:r w:rsidRPr="000B49BB">
        <w:t xml:space="preserve"> of </w:t>
      </w:r>
      <w:proofErr w:type="spellStart"/>
      <w:r w:rsidRPr="000B49BB">
        <w:t>forcing</w:t>
      </w:r>
      <w:proofErr w:type="spellEnd"/>
      <w:r w:rsidRPr="000B49BB">
        <w:t xml:space="preserve"> and </w:t>
      </w:r>
      <w:proofErr w:type="spellStart"/>
      <w:r w:rsidRPr="000B49BB">
        <w:t>the</w:t>
      </w:r>
      <w:proofErr w:type="spellEnd"/>
      <w:r w:rsidRPr="000B49BB">
        <w:t xml:space="preserve"> </w:t>
      </w:r>
      <w:proofErr w:type="spellStart"/>
      <w:r w:rsidRPr="000B49BB">
        <w:t>forecastability</w:t>
      </w:r>
      <w:proofErr w:type="spellEnd"/>
      <w:r w:rsidRPr="000B49BB">
        <w:t xml:space="preserve"> of </w:t>
      </w:r>
      <w:proofErr w:type="spellStart"/>
      <w:r w:rsidRPr="000B49BB">
        <w:t>critical</w:t>
      </w:r>
      <w:proofErr w:type="spellEnd"/>
      <w:r w:rsidRPr="000B49BB">
        <w:t xml:space="preserve"> </w:t>
      </w:r>
      <w:proofErr w:type="spellStart"/>
      <w:r w:rsidRPr="000B49BB">
        <w:t>transitions</w:t>
      </w:r>
      <w:proofErr w:type="spellEnd"/>
      <w:r w:rsidRPr="000B49BB">
        <w:t xml:space="preserve">. </w:t>
      </w:r>
      <w:proofErr w:type="spellStart"/>
      <w:r w:rsidRPr="000B49BB">
        <w:t>Proceedings</w:t>
      </w:r>
      <w:proofErr w:type="spellEnd"/>
      <w:r w:rsidRPr="000B49BB">
        <w:t xml:space="preserve"> of </w:t>
      </w:r>
      <w:proofErr w:type="spellStart"/>
      <w:r w:rsidRPr="000B49BB">
        <w:t>the</w:t>
      </w:r>
      <w:proofErr w:type="spellEnd"/>
      <w:r w:rsidRPr="000B49BB">
        <w:t xml:space="preserve"> National </w:t>
      </w:r>
      <w:proofErr w:type="spellStart"/>
      <w:r w:rsidRPr="000B49BB">
        <w:t>Academy</w:t>
      </w:r>
      <w:proofErr w:type="spellEnd"/>
      <w:r w:rsidRPr="000B49BB">
        <w:t xml:space="preserve"> of </w:t>
      </w:r>
      <w:proofErr w:type="spellStart"/>
      <w:r w:rsidRPr="000B49BB">
        <w:t>Sciences</w:t>
      </w:r>
      <w:proofErr w:type="spellEnd"/>
      <w:r w:rsidRPr="000B49BB">
        <w:t>, 113. évfolyam 41. szám, 11498-11503. </w:t>
      </w:r>
      <w:hyperlink r:id="rId22" w:tgtFrame="_blank" w:history="1">
        <w:r w:rsidRPr="000B49BB">
          <w:rPr>
            <w:rStyle w:val="Hiperhivatkozs"/>
            <w:b/>
            <w:bCs/>
          </w:rPr>
          <w:t>https://doi.org/10.1073/pnas.1608242113</w:t>
        </w:r>
      </w:hyperlink>
    </w:p>
    <w:p w14:paraId="6D7EBE5A" w14:textId="77777777" w:rsidR="000B49BB" w:rsidRPr="000B49BB" w:rsidRDefault="000B49BB" w:rsidP="00747F9E">
      <w:pPr>
        <w:ind w:firstLine="284"/>
      </w:pPr>
      <w:r w:rsidRPr="000B49BB">
        <w:t xml:space="preserve">ECB (2021): The </w:t>
      </w:r>
      <w:proofErr w:type="spellStart"/>
      <w:r w:rsidRPr="000B49BB">
        <w:t>ECB's</w:t>
      </w:r>
      <w:proofErr w:type="spellEnd"/>
      <w:r w:rsidRPr="000B49BB">
        <w:t xml:space="preserve"> </w:t>
      </w:r>
      <w:proofErr w:type="spellStart"/>
      <w:r w:rsidRPr="000B49BB">
        <w:t>monetary</w:t>
      </w:r>
      <w:proofErr w:type="spellEnd"/>
      <w:r w:rsidRPr="000B49BB">
        <w:t xml:space="preserve"> policy </w:t>
      </w:r>
      <w:proofErr w:type="spellStart"/>
      <w:r w:rsidRPr="000B49BB">
        <w:t>strategy</w:t>
      </w:r>
      <w:proofErr w:type="spellEnd"/>
      <w:r w:rsidRPr="000B49BB">
        <w:t xml:space="preserve"> </w:t>
      </w:r>
      <w:proofErr w:type="spellStart"/>
      <w:r w:rsidRPr="000B49BB">
        <w:t>statement</w:t>
      </w:r>
      <w:proofErr w:type="spellEnd"/>
      <w:r w:rsidRPr="000B49BB">
        <w:t xml:space="preserve">. European </w:t>
      </w:r>
      <w:proofErr w:type="spellStart"/>
      <w:r w:rsidRPr="000B49BB">
        <w:t>Central</w:t>
      </w:r>
      <w:proofErr w:type="spellEnd"/>
      <w:r w:rsidRPr="000B49BB">
        <w:t xml:space="preserve"> Bank. </w:t>
      </w:r>
      <w:hyperlink r:id="rId23" w:tgtFrame="_blank" w:history="1">
        <w:r w:rsidRPr="000B49BB">
          <w:rPr>
            <w:rStyle w:val="Hiperhivatkozs"/>
            <w:b/>
            <w:bCs/>
          </w:rPr>
          <w:t>https://www.ecb.europa.eu/mopo/strategy/ecb.mopo_strategy_statement.en.html</w:t>
        </w:r>
      </w:hyperlink>
    </w:p>
    <w:p w14:paraId="32598658" w14:textId="77777777" w:rsidR="000B49BB" w:rsidRPr="000B49BB" w:rsidRDefault="000B49BB" w:rsidP="00747F9E">
      <w:pPr>
        <w:ind w:firstLine="284"/>
      </w:pPr>
      <w:r w:rsidRPr="000B49BB">
        <w:t xml:space="preserve">ECB (2024a): </w:t>
      </w:r>
      <w:proofErr w:type="spellStart"/>
      <w:r w:rsidRPr="000B49BB">
        <w:t>Monetary</w:t>
      </w:r>
      <w:proofErr w:type="spellEnd"/>
      <w:r w:rsidRPr="000B49BB">
        <w:t xml:space="preserve"> policy </w:t>
      </w:r>
      <w:proofErr w:type="spellStart"/>
      <w:r w:rsidRPr="000B49BB">
        <w:t>pass-through</w:t>
      </w:r>
      <w:proofErr w:type="spellEnd"/>
      <w:r w:rsidRPr="000B49BB">
        <w:t xml:space="preserve"> </w:t>
      </w:r>
      <w:proofErr w:type="spellStart"/>
      <w:r w:rsidRPr="000B49BB">
        <w:t>to</w:t>
      </w:r>
      <w:proofErr w:type="spellEnd"/>
      <w:r w:rsidRPr="000B49BB">
        <w:t xml:space="preserve"> </w:t>
      </w:r>
      <w:proofErr w:type="spellStart"/>
      <w:r w:rsidRPr="000B49BB">
        <w:t>goods</w:t>
      </w:r>
      <w:proofErr w:type="spellEnd"/>
      <w:r w:rsidRPr="000B49BB">
        <w:t xml:space="preserve"> and </w:t>
      </w:r>
      <w:proofErr w:type="spellStart"/>
      <w:r w:rsidRPr="000B49BB">
        <w:t>services</w:t>
      </w:r>
      <w:proofErr w:type="spellEnd"/>
      <w:r w:rsidRPr="000B49BB">
        <w:t xml:space="preserve"> </w:t>
      </w:r>
      <w:proofErr w:type="spellStart"/>
      <w:r w:rsidRPr="000B49BB">
        <w:t>inflation</w:t>
      </w:r>
      <w:proofErr w:type="spellEnd"/>
      <w:r w:rsidRPr="000B49BB">
        <w:t xml:space="preserve">. ECB </w:t>
      </w:r>
      <w:proofErr w:type="spellStart"/>
      <w:r w:rsidRPr="000B49BB">
        <w:t>Economic</w:t>
      </w:r>
      <w:proofErr w:type="spellEnd"/>
      <w:r w:rsidRPr="000B49BB">
        <w:t xml:space="preserve"> Bulletin, </w:t>
      </w:r>
      <w:proofErr w:type="spellStart"/>
      <w:r w:rsidRPr="000B49BB">
        <w:t>Issue</w:t>
      </w:r>
      <w:proofErr w:type="spellEnd"/>
      <w:r w:rsidRPr="000B49BB">
        <w:t xml:space="preserve"> 8/2024. </w:t>
      </w:r>
      <w:hyperlink r:id="rId24" w:tgtFrame="_blank" w:history="1">
        <w:r w:rsidRPr="000B49BB">
          <w:rPr>
            <w:rStyle w:val="Hiperhivatkozs"/>
            <w:b/>
            <w:bCs/>
          </w:rPr>
          <w:t>https://www.ecb.europa.eu/press/economic-bulletin/html/eb202408.en.html</w:t>
        </w:r>
      </w:hyperlink>
    </w:p>
    <w:p w14:paraId="2F83BD5B" w14:textId="77777777" w:rsidR="000B49BB" w:rsidRPr="000B49BB" w:rsidRDefault="000B49BB" w:rsidP="00747F9E">
      <w:pPr>
        <w:ind w:firstLine="284"/>
      </w:pPr>
      <w:r w:rsidRPr="000B49BB">
        <w:t xml:space="preserve">ECB (2024b): </w:t>
      </w:r>
      <w:proofErr w:type="spellStart"/>
      <w:r w:rsidRPr="000B49BB">
        <w:t>Inflation</w:t>
      </w:r>
      <w:proofErr w:type="spellEnd"/>
      <w:r w:rsidRPr="000B49BB">
        <w:t xml:space="preserve"> and consumer </w:t>
      </w:r>
      <w:proofErr w:type="spellStart"/>
      <w:r w:rsidRPr="000B49BB">
        <w:t>prices</w:t>
      </w:r>
      <w:proofErr w:type="spellEnd"/>
      <w:r w:rsidRPr="000B49BB">
        <w:t xml:space="preserve">. European </w:t>
      </w:r>
      <w:proofErr w:type="spellStart"/>
      <w:r w:rsidRPr="000B49BB">
        <w:t>Central</w:t>
      </w:r>
      <w:proofErr w:type="spellEnd"/>
      <w:r w:rsidRPr="000B49BB">
        <w:t xml:space="preserve"> Bank. </w:t>
      </w:r>
      <w:hyperlink r:id="rId25" w:tgtFrame="_blank" w:history="1">
        <w:r w:rsidRPr="000B49BB">
          <w:rPr>
            <w:rStyle w:val="Hiperhivatkozs"/>
            <w:b/>
            <w:bCs/>
          </w:rPr>
          <w:t>https://www.ecb.europa.eu/stats/macroeconomic_and_sectoral/hicp/html/index.en.html</w:t>
        </w:r>
      </w:hyperlink>
    </w:p>
    <w:p w14:paraId="6C04084C" w14:textId="425B1A1E" w:rsidR="000B49BB" w:rsidRPr="000B49BB" w:rsidRDefault="000B49BB" w:rsidP="00747F9E">
      <w:pPr>
        <w:ind w:firstLine="284"/>
      </w:pPr>
      <w:proofErr w:type="spellStart"/>
      <w:r w:rsidRPr="000B49BB">
        <w:t>Efron</w:t>
      </w:r>
      <w:proofErr w:type="spellEnd"/>
      <w:r w:rsidRPr="000B49BB">
        <w:t xml:space="preserve">, Bradley – </w:t>
      </w:r>
      <w:proofErr w:type="spellStart"/>
      <w:r w:rsidRPr="000B49BB">
        <w:t>Tibshirani</w:t>
      </w:r>
      <w:proofErr w:type="spellEnd"/>
      <w:r w:rsidRPr="000B49BB">
        <w:t xml:space="preserve">, Robert J. (1993): An </w:t>
      </w:r>
      <w:proofErr w:type="spellStart"/>
      <w:r w:rsidRPr="000B49BB">
        <w:t>introduction</w:t>
      </w:r>
      <w:proofErr w:type="spellEnd"/>
      <w:r w:rsidRPr="000B49BB">
        <w:t xml:space="preserve"> </w:t>
      </w:r>
      <w:proofErr w:type="spellStart"/>
      <w:r w:rsidRPr="000B49BB">
        <w:t>to</w:t>
      </w:r>
      <w:proofErr w:type="spellEnd"/>
      <w:r w:rsidRPr="000B49BB">
        <w:t xml:space="preserve"> </w:t>
      </w:r>
      <w:proofErr w:type="spellStart"/>
      <w:r w:rsidRPr="000B49BB">
        <w:t>the</w:t>
      </w:r>
      <w:proofErr w:type="spellEnd"/>
      <w:r w:rsidRPr="000B49BB">
        <w:t xml:space="preserve"> </w:t>
      </w:r>
      <w:proofErr w:type="spellStart"/>
      <w:r w:rsidRPr="000B49BB">
        <w:t>bootstrap</w:t>
      </w:r>
      <w:proofErr w:type="spellEnd"/>
      <w:r w:rsidRPr="000B49BB">
        <w:t>. London, Chapman &amp; Hall</w:t>
      </w:r>
      <w:r w:rsidR="00F15753">
        <w:t xml:space="preserve"> </w:t>
      </w:r>
      <w:r w:rsidRPr="000B49BB">
        <w:t>/CRC. </w:t>
      </w:r>
      <w:r w:rsidR="00F15753" w:rsidRPr="00F15753">
        <w:t>https://www.hms.harvard.edu/bss/neuro/bornlab/nb204/statistics/bootstrap.pdf</w:t>
      </w:r>
    </w:p>
    <w:p w14:paraId="71BF4D4F" w14:textId="77777777" w:rsidR="000B49BB" w:rsidRPr="000B49BB" w:rsidRDefault="000B49BB" w:rsidP="00747F9E">
      <w:pPr>
        <w:ind w:firstLine="284"/>
      </w:pPr>
      <w:r w:rsidRPr="000B49BB">
        <w:t xml:space="preserve">European </w:t>
      </w:r>
      <w:proofErr w:type="spellStart"/>
      <w:r w:rsidRPr="000B49BB">
        <w:t>Parliament</w:t>
      </w:r>
      <w:proofErr w:type="spellEnd"/>
      <w:r w:rsidRPr="000B49BB">
        <w:t xml:space="preserve"> (2022): </w:t>
      </w:r>
      <w:proofErr w:type="spellStart"/>
      <w:r w:rsidRPr="000B49BB">
        <w:t>Inflation</w:t>
      </w:r>
      <w:proofErr w:type="spellEnd"/>
      <w:r w:rsidRPr="000B49BB">
        <w:t xml:space="preserve"> </w:t>
      </w:r>
      <w:proofErr w:type="spellStart"/>
      <w:r w:rsidRPr="000B49BB">
        <w:t>divergence</w:t>
      </w:r>
      <w:proofErr w:type="spellEnd"/>
      <w:r w:rsidRPr="000B49BB">
        <w:t xml:space="preserve"> in </w:t>
      </w:r>
      <w:proofErr w:type="spellStart"/>
      <w:r w:rsidRPr="000B49BB">
        <w:t>the</w:t>
      </w:r>
      <w:proofErr w:type="spellEnd"/>
      <w:r w:rsidRPr="000B49BB">
        <w:t xml:space="preserve"> euro </w:t>
      </w:r>
      <w:proofErr w:type="spellStart"/>
      <w:r w:rsidRPr="000B49BB">
        <w:t>area</w:t>
      </w:r>
      <w:proofErr w:type="spellEnd"/>
      <w:r w:rsidRPr="000B49BB">
        <w:t xml:space="preserve">: </w:t>
      </w:r>
      <w:proofErr w:type="spellStart"/>
      <w:r w:rsidRPr="000B49BB">
        <w:t>Nature</w:t>
      </w:r>
      <w:proofErr w:type="spellEnd"/>
      <w:r w:rsidRPr="000B49BB">
        <w:t xml:space="preserve"> and </w:t>
      </w:r>
      <w:proofErr w:type="spellStart"/>
      <w:r w:rsidRPr="000B49BB">
        <w:t>implications</w:t>
      </w:r>
      <w:proofErr w:type="spellEnd"/>
      <w:r w:rsidRPr="000B49BB">
        <w:t>. IPOL Policy Department. </w:t>
      </w:r>
      <w:hyperlink r:id="rId26" w:tgtFrame="_blank" w:history="1">
        <w:r w:rsidRPr="000B49BB">
          <w:rPr>
            <w:rStyle w:val="Hiperhivatkozs"/>
            <w:b/>
            <w:bCs/>
          </w:rPr>
          <w:t>https://www.europarl.europa.eu/RegData/etudes/IDAN/2022/733996/IPOL_IDA(2022)733996_EN.pdf</w:t>
        </w:r>
      </w:hyperlink>
    </w:p>
    <w:p w14:paraId="5305B9B9" w14:textId="77777777" w:rsidR="000B49BB" w:rsidRPr="000B49BB" w:rsidRDefault="000B49BB" w:rsidP="00747F9E">
      <w:pPr>
        <w:ind w:firstLine="284"/>
      </w:pPr>
      <w:r w:rsidRPr="000B49BB">
        <w:t xml:space="preserve">Farmer, J. </w:t>
      </w:r>
      <w:proofErr w:type="spellStart"/>
      <w:r w:rsidRPr="000B49BB">
        <w:t>Doyne</w:t>
      </w:r>
      <w:proofErr w:type="spellEnd"/>
      <w:r w:rsidRPr="000B49BB">
        <w:t xml:space="preserve"> – </w:t>
      </w:r>
      <w:proofErr w:type="spellStart"/>
      <w:r w:rsidRPr="000B49BB">
        <w:t>Geanakoplos</w:t>
      </w:r>
      <w:proofErr w:type="spellEnd"/>
      <w:r w:rsidRPr="000B49BB">
        <w:t xml:space="preserve">, John (2009): The </w:t>
      </w:r>
      <w:proofErr w:type="spellStart"/>
      <w:r w:rsidRPr="000B49BB">
        <w:t>virtues</w:t>
      </w:r>
      <w:proofErr w:type="spellEnd"/>
      <w:r w:rsidRPr="000B49BB">
        <w:t xml:space="preserve"> and </w:t>
      </w:r>
      <w:proofErr w:type="spellStart"/>
      <w:r w:rsidRPr="000B49BB">
        <w:t>vices</w:t>
      </w:r>
      <w:proofErr w:type="spellEnd"/>
      <w:r w:rsidRPr="000B49BB">
        <w:t xml:space="preserve"> of </w:t>
      </w:r>
      <w:proofErr w:type="spellStart"/>
      <w:r w:rsidRPr="000B49BB">
        <w:t>equilibrium</w:t>
      </w:r>
      <w:proofErr w:type="spellEnd"/>
      <w:r w:rsidRPr="000B49BB">
        <w:t xml:space="preserve"> and </w:t>
      </w:r>
      <w:proofErr w:type="spellStart"/>
      <w:r w:rsidRPr="000B49BB">
        <w:t>the</w:t>
      </w:r>
      <w:proofErr w:type="spellEnd"/>
      <w:r w:rsidRPr="000B49BB">
        <w:t xml:space="preserve"> </w:t>
      </w:r>
      <w:proofErr w:type="spellStart"/>
      <w:r w:rsidRPr="000B49BB">
        <w:t>future</w:t>
      </w:r>
      <w:proofErr w:type="spellEnd"/>
      <w:r w:rsidRPr="000B49BB">
        <w:t xml:space="preserve"> of </w:t>
      </w:r>
      <w:proofErr w:type="spellStart"/>
      <w:r w:rsidRPr="000B49BB">
        <w:t>financial</w:t>
      </w:r>
      <w:proofErr w:type="spellEnd"/>
      <w:r w:rsidRPr="000B49BB">
        <w:t xml:space="preserve"> </w:t>
      </w:r>
      <w:proofErr w:type="spellStart"/>
      <w:r w:rsidRPr="000B49BB">
        <w:t>economics</w:t>
      </w:r>
      <w:proofErr w:type="spellEnd"/>
      <w:r w:rsidRPr="000B49BB">
        <w:t xml:space="preserve">. </w:t>
      </w:r>
      <w:proofErr w:type="spellStart"/>
      <w:r w:rsidRPr="000B49BB">
        <w:t>Complexity</w:t>
      </w:r>
      <w:proofErr w:type="spellEnd"/>
      <w:r w:rsidRPr="000B49BB">
        <w:t>, 14. évfolyam 3. szám, 11-38. </w:t>
      </w:r>
      <w:hyperlink r:id="rId27" w:tgtFrame="_blank" w:history="1">
        <w:r w:rsidRPr="000B49BB">
          <w:rPr>
            <w:rStyle w:val="Hiperhivatkozs"/>
            <w:b/>
            <w:bCs/>
          </w:rPr>
          <w:t>https://doi.org/10.1002/cplx.20261</w:t>
        </w:r>
      </w:hyperlink>
    </w:p>
    <w:p w14:paraId="1DB2C8F3" w14:textId="4FDCD0CD" w:rsidR="000B49BB" w:rsidRPr="000B49BB" w:rsidRDefault="000B49BB" w:rsidP="00747F9E">
      <w:pPr>
        <w:ind w:firstLine="284"/>
      </w:pPr>
      <w:proofErr w:type="spellStart"/>
      <w:r w:rsidRPr="000B49BB">
        <w:t>Haven</w:t>
      </w:r>
      <w:proofErr w:type="spellEnd"/>
      <w:r w:rsidRPr="000B49BB">
        <w:t xml:space="preserve">, Emmanuel – </w:t>
      </w:r>
      <w:proofErr w:type="spellStart"/>
      <w:r w:rsidRPr="000B49BB">
        <w:t>Khrennikov</w:t>
      </w:r>
      <w:proofErr w:type="spellEnd"/>
      <w:r w:rsidRPr="000B49BB">
        <w:t xml:space="preserve">, </w:t>
      </w:r>
      <w:proofErr w:type="spellStart"/>
      <w:r w:rsidRPr="000B49BB">
        <w:t>Andrei</w:t>
      </w:r>
      <w:proofErr w:type="spellEnd"/>
      <w:r w:rsidRPr="000B49BB">
        <w:t xml:space="preserve"> (2013): </w:t>
      </w:r>
      <w:proofErr w:type="spellStart"/>
      <w:r w:rsidRPr="000B49BB">
        <w:t>Quantum</w:t>
      </w:r>
      <w:proofErr w:type="spellEnd"/>
      <w:r w:rsidRPr="000B49BB">
        <w:t xml:space="preserve"> </w:t>
      </w:r>
      <w:proofErr w:type="spellStart"/>
      <w:r w:rsidRPr="000B49BB">
        <w:t>social</w:t>
      </w:r>
      <w:proofErr w:type="spellEnd"/>
      <w:r w:rsidRPr="000B49BB">
        <w:t xml:space="preserve"> </w:t>
      </w:r>
      <w:proofErr w:type="spellStart"/>
      <w:r w:rsidRPr="000B49BB">
        <w:t>science</w:t>
      </w:r>
      <w:proofErr w:type="spellEnd"/>
      <w:r w:rsidRPr="000B49BB">
        <w:t>. Cambridge, Cambridge University Press. https://www.cambridge.org/core/books/quantum-social-science/156E054488073E842C6A3C598FC8DC87</w:t>
      </w:r>
    </w:p>
    <w:p w14:paraId="6ED3C47A" w14:textId="77777777" w:rsidR="000B49BB" w:rsidRPr="000B49BB" w:rsidRDefault="000B49BB" w:rsidP="00747F9E">
      <w:pPr>
        <w:ind w:firstLine="284"/>
      </w:pPr>
      <w:r w:rsidRPr="000B49BB">
        <w:t xml:space="preserve">IMF (2023): The 2020-2022 </w:t>
      </w:r>
      <w:proofErr w:type="spellStart"/>
      <w:r w:rsidRPr="000B49BB">
        <w:t>inflation</w:t>
      </w:r>
      <w:proofErr w:type="spellEnd"/>
      <w:r w:rsidRPr="000B49BB">
        <w:t xml:space="preserve"> </w:t>
      </w:r>
      <w:proofErr w:type="spellStart"/>
      <w:r w:rsidRPr="000B49BB">
        <w:t>surge</w:t>
      </w:r>
      <w:proofErr w:type="spellEnd"/>
      <w:r w:rsidRPr="000B49BB">
        <w:t xml:space="preserve"> </w:t>
      </w:r>
      <w:proofErr w:type="spellStart"/>
      <w:r w:rsidRPr="000B49BB">
        <w:t>across</w:t>
      </w:r>
      <w:proofErr w:type="spellEnd"/>
      <w:r w:rsidRPr="000B49BB">
        <w:t xml:space="preserve"> Europe. IMF </w:t>
      </w:r>
      <w:proofErr w:type="spellStart"/>
      <w:r w:rsidRPr="000B49BB">
        <w:t>Working</w:t>
      </w:r>
      <w:proofErr w:type="spellEnd"/>
      <w:r w:rsidRPr="000B49BB">
        <w:t xml:space="preserve"> </w:t>
      </w:r>
      <w:proofErr w:type="spellStart"/>
      <w:r w:rsidRPr="000B49BB">
        <w:t>Paper</w:t>
      </w:r>
      <w:proofErr w:type="spellEnd"/>
      <w:r w:rsidRPr="000B49BB">
        <w:t>, WP/2023/030. </w:t>
      </w:r>
      <w:hyperlink r:id="rId28" w:tgtFrame="_blank" w:history="1">
        <w:r w:rsidRPr="000B49BB">
          <w:rPr>
            <w:rStyle w:val="Hiperhivatkozs"/>
            <w:b/>
            <w:bCs/>
          </w:rPr>
          <w:t>https://www.imf.org/-/media/Files/Publications/WP/2023/English/wpiea2023030-print-pdf.ashx</w:t>
        </w:r>
      </w:hyperlink>
    </w:p>
    <w:p w14:paraId="4D2570FC" w14:textId="77777777" w:rsidR="000B49BB" w:rsidRPr="000B49BB" w:rsidRDefault="000B49BB" w:rsidP="00747F9E">
      <w:pPr>
        <w:ind w:firstLine="284"/>
      </w:pPr>
      <w:proofErr w:type="spellStart"/>
      <w:r w:rsidRPr="000B49BB">
        <w:lastRenderedPageBreak/>
        <w:t>Kuehn</w:t>
      </w:r>
      <w:proofErr w:type="spellEnd"/>
      <w:r w:rsidRPr="000B49BB">
        <w:t xml:space="preserve">, Christian (2011): A </w:t>
      </w:r>
      <w:proofErr w:type="spellStart"/>
      <w:r w:rsidRPr="000B49BB">
        <w:t>mathematical</w:t>
      </w:r>
      <w:proofErr w:type="spellEnd"/>
      <w:r w:rsidRPr="000B49BB">
        <w:t xml:space="preserve"> </w:t>
      </w:r>
      <w:proofErr w:type="spellStart"/>
      <w:r w:rsidRPr="000B49BB">
        <w:t>framework</w:t>
      </w:r>
      <w:proofErr w:type="spellEnd"/>
      <w:r w:rsidRPr="000B49BB">
        <w:t xml:space="preserve"> </w:t>
      </w:r>
      <w:proofErr w:type="spellStart"/>
      <w:r w:rsidRPr="000B49BB">
        <w:t>for</w:t>
      </w:r>
      <w:proofErr w:type="spellEnd"/>
      <w:r w:rsidRPr="000B49BB">
        <w:t xml:space="preserve"> </w:t>
      </w:r>
      <w:proofErr w:type="spellStart"/>
      <w:r w:rsidRPr="000B49BB">
        <w:t>critical</w:t>
      </w:r>
      <w:proofErr w:type="spellEnd"/>
      <w:r w:rsidRPr="000B49BB">
        <w:t xml:space="preserve"> </w:t>
      </w:r>
      <w:proofErr w:type="spellStart"/>
      <w:r w:rsidRPr="000B49BB">
        <w:t>transitions</w:t>
      </w:r>
      <w:proofErr w:type="spellEnd"/>
      <w:r w:rsidRPr="000B49BB">
        <w:t xml:space="preserve">: </w:t>
      </w:r>
      <w:proofErr w:type="spellStart"/>
      <w:r w:rsidRPr="000B49BB">
        <w:t>Bifurcations</w:t>
      </w:r>
      <w:proofErr w:type="spellEnd"/>
      <w:r w:rsidRPr="000B49BB">
        <w:t xml:space="preserve">, </w:t>
      </w:r>
      <w:proofErr w:type="spellStart"/>
      <w:r w:rsidRPr="000B49BB">
        <w:t>fast-slow</w:t>
      </w:r>
      <w:proofErr w:type="spellEnd"/>
      <w:r w:rsidRPr="000B49BB">
        <w:t xml:space="preserve"> </w:t>
      </w:r>
      <w:proofErr w:type="spellStart"/>
      <w:r w:rsidRPr="000B49BB">
        <w:t>systems</w:t>
      </w:r>
      <w:proofErr w:type="spellEnd"/>
      <w:r w:rsidRPr="000B49BB">
        <w:t xml:space="preserve"> and </w:t>
      </w:r>
      <w:proofErr w:type="spellStart"/>
      <w:r w:rsidRPr="000B49BB">
        <w:t>stochastic</w:t>
      </w:r>
      <w:proofErr w:type="spellEnd"/>
      <w:r w:rsidRPr="000B49BB">
        <w:t xml:space="preserve"> </w:t>
      </w:r>
      <w:proofErr w:type="spellStart"/>
      <w:r w:rsidRPr="000B49BB">
        <w:t>dynamics</w:t>
      </w:r>
      <w:proofErr w:type="spellEnd"/>
      <w:r w:rsidRPr="000B49BB">
        <w:t xml:space="preserve">. </w:t>
      </w:r>
      <w:proofErr w:type="spellStart"/>
      <w:r w:rsidRPr="000B49BB">
        <w:t>Physica</w:t>
      </w:r>
      <w:proofErr w:type="spellEnd"/>
      <w:r w:rsidRPr="000B49BB">
        <w:t xml:space="preserve"> D: </w:t>
      </w:r>
      <w:proofErr w:type="spellStart"/>
      <w:r w:rsidRPr="000B49BB">
        <w:t>Nonlinear</w:t>
      </w:r>
      <w:proofErr w:type="spellEnd"/>
      <w:r w:rsidRPr="000B49BB">
        <w:t xml:space="preserve"> </w:t>
      </w:r>
      <w:proofErr w:type="spellStart"/>
      <w:r w:rsidRPr="000B49BB">
        <w:t>Phenomena</w:t>
      </w:r>
      <w:proofErr w:type="spellEnd"/>
      <w:r w:rsidRPr="000B49BB">
        <w:t>, 240. évfolyam 12. szám, 1020-1035. </w:t>
      </w:r>
      <w:hyperlink r:id="rId29" w:tgtFrame="_blank" w:history="1">
        <w:r w:rsidRPr="000B49BB">
          <w:rPr>
            <w:rStyle w:val="Hiperhivatkozs"/>
            <w:b/>
            <w:bCs/>
          </w:rPr>
          <w:t>https://doi.org/10.1016/j.physd.2011.02.012</w:t>
        </w:r>
      </w:hyperlink>
    </w:p>
    <w:p w14:paraId="306C4658" w14:textId="77777777" w:rsidR="000B49BB" w:rsidRPr="000B49BB" w:rsidRDefault="000B49BB" w:rsidP="00747F9E">
      <w:pPr>
        <w:ind w:firstLine="284"/>
      </w:pPr>
      <w:proofErr w:type="spellStart"/>
      <w:r w:rsidRPr="000B49BB">
        <w:t>Milanovic</w:t>
      </w:r>
      <w:proofErr w:type="spellEnd"/>
      <w:r w:rsidRPr="000B49BB">
        <w:t xml:space="preserve">, </w:t>
      </w:r>
      <w:proofErr w:type="spellStart"/>
      <w:r w:rsidRPr="000B49BB">
        <w:t>Branko</w:t>
      </w:r>
      <w:proofErr w:type="spellEnd"/>
      <w:r w:rsidRPr="000B49BB">
        <w:t xml:space="preserve"> (2016): </w:t>
      </w:r>
      <w:proofErr w:type="spellStart"/>
      <w:r w:rsidRPr="000B49BB">
        <w:t>Increasing</w:t>
      </w:r>
      <w:proofErr w:type="spellEnd"/>
      <w:r w:rsidRPr="000B49BB">
        <w:t xml:space="preserve"> </w:t>
      </w:r>
      <w:proofErr w:type="spellStart"/>
      <w:r w:rsidRPr="000B49BB">
        <w:t>capital</w:t>
      </w:r>
      <w:proofErr w:type="spellEnd"/>
      <w:r w:rsidRPr="000B49BB">
        <w:t xml:space="preserve"> </w:t>
      </w:r>
      <w:proofErr w:type="spellStart"/>
      <w:r w:rsidRPr="000B49BB">
        <w:t>income</w:t>
      </w:r>
      <w:proofErr w:type="spellEnd"/>
      <w:r w:rsidRPr="000B49BB">
        <w:t xml:space="preserve"> </w:t>
      </w:r>
      <w:proofErr w:type="spellStart"/>
      <w:r w:rsidRPr="000B49BB">
        <w:t>share</w:t>
      </w:r>
      <w:proofErr w:type="spellEnd"/>
      <w:r w:rsidRPr="000B49BB">
        <w:t xml:space="preserve"> and </w:t>
      </w:r>
      <w:proofErr w:type="spellStart"/>
      <w:r w:rsidRPr="000B49BB">
        <w:t>its</w:t>
      </w:r>
      <w:proofErr w:type="spellEnd"/>
      <w:r w:rsidRPr="000B49BB">
        <w:t xml:space="preserve"> </w:t>
      </w:r>
      <w:proofErr w:type="spellStart"/>
      <w:r w:rsidRPr="000B49BB">
        <w:t>effect</w:t>
      </w:r>
      <w:proofErr w:type="spellEnd"/>
      <w:r w:rsidRPr="000B49BB">
        <w:t xml:space="preserve"> </w:t>
      </w:r>
      <w:proofErr w:type="spellStart"/>
      <w:r w:rsidRPr="000B49BB">
        <w:t>on</w:t>
      </w:r>
      <w:proofErr w:type="spellEnd"/>
      <w:r w:rsidRPr="000B49BB">
        <w:t xml:space="preserve"> </w:t>
      </w:r>
      <w:proofErr w:type="spellStart"/>
      <w:r w:rsidRPr="000B49BB">
        <w:t>personal</w:t>
      </w:r>
      <w:proofErr w:type="spellEnd"/>
      <w:r w:rsidRPr="000B49BB">
        <w:t xml:space="preserve"> </w:t>
      </w:r>
      <w:proofErr w:type="spellStart"/>
      <w:r w:rsidRPr="000B49BB">
        <w:t>income</w:t>
      </w:r>
      <w:proofErr w:type="spellEnd"/>
      <w:r w:rsidRPr="000B49BB">
        <w:t xml:space="preserve"> </w:t>
      </w:r>
      <w:proofErr w:type="spellStart"/>
      <w:r w:rsidRPr="000B49BB">
        <w:t>inequality</w:t>
      </w:r>
      <w:proofErr w:type="spellEnd"/>
      <w:r w:rsidRPr="000B49BB">
        <w:t xml:space="preserve">. LIS </w:t>
      </w:r>
      <w:proofErr w:type="spellStart"/>
      <w:r w:rsidRPr="000B49BB">
        <w:t>Working</w:t>
      </w:r>
      <w:proofErr w:type="spellEnd"/>
      <w:r w:rsidRPr="000B49BB">
        <w:t xml:space="preserve"> </w:t>
      </w:r>
      <w:proofErr w:type="spellStart"/>
      <w:r w:rsidRPr="000B49BB">
        <w:t>Paper</w:t>
      </w:r>
      <w:proofErr w:type="spellEnd"/>
      <w:r w:rsidRPr="000B49BB">
        <w:t xml:space="preserve"> </w:t>
      </w:r>
      <w:proofErr w:type="spellStart"/>
      <w:r w:rsidRPr="000B49BB">
        <w:t>Series</w:t>
      </w:r>
      <w:proofErr w:type="spellEnd"/>
      <w:r w:rsidRPr="000B49BB">
        <w:t>, No. 663. </w:t>
      </w:r>
      <w:hyperlink r:id="rId30" w:tgtFrame="_blank" w:history="1">
        <w:r w:rsidRPr="000B49BB">
          <w:rPr>
            <w:rStyle w:val="Hiperhivatkozs"/>
            <w:b/>
            <w:bCs/>
          </w:rPr>
          <w:t>https://www.econstor.eu/bitstream/10419/169223/1/663.pdf</w:t>
        </w:r>
      </w:hyperlink>
    </w:p>
    <w:p w14:paraId="44D36CCB" w14:textId="77777777" w:rsidR="000B49BB" w:rsidRPr="000B49BB" w:rsidRDefault="000B49BB" w:rsidP="00747F9E">
      <w:pPr>
        <w:ind w:firstLine="284"/>
      </w:pPr>
      <w:proofErr w:type="spellStart"/>
      <w:r w:rsidRPr="000B49BB">
        <w:t>Orrell</w:t>
      </w:r>
      <w:proofErr w:type="spellEnd"/>
      <w:r w:rsidRPr="000B49BB">
        <w:t xml:space="preserve">, David (2018): </w:t>
      </w:r>
      <w:proofErr w:type="spellStart"/>
      <w:r w:rsidRPr="000B49BB">
        <w:t>Quantum</w:t>
      </w:r>
      <w:proofErr w:type="spellEnd"/>
      <w:r w:rsidRPr="000B49BB">
        <w:t xml:space="preserve"> </w:t>
      </w:r>
      <w:proofErr w:type="spellStart"/>
      <w:r w:rsidRPr="000B49BB">
        <w:t>economics</w:t>
      </w:r>
      <w:proofErr w:type="spellEnd"/>
      <w:r w:rsidRPr="000B49BB">
        <w:t xml:space="preserve">. </w:t>
      </w:r>
      <w:proofErr w:type="spellStart"/>
      <w:r w:rsidRPr="000B49BB">
        <w:t>Economic</w:t>
      </w:r>
      <w:proofErr w:type="spellEnd"/>
      <w:r w:rsidRPr="000B49BB">
        <w:t xml:space="preserve"> </w:t>
      </w:r>
      <w:proofErr w:type="spellStart"/>
      <w:r w:rsidRPr="000B49BB">
        <w:t>Thought</w:t>
      </w:r>
      <w:proofErr w:type="spellEnd"/>
      <w:r w:rsidRPr="000B49BB">
        <w:t>, 7. évfolyam 2. szám, 63-86. </w:t>
      </w:r>
      <w:hyperlink r:id="rId31" w:tgtFrame="_blank" w:history="1">
        <w:r w:rsidRPr="000B49BB">
          <w:rPr>
            <w:rStyle w:val="Hiperhivatkozs"/>
            <w:b/>
            <w:bCs/>
          </w:rPr>
          <w:t>http://www.worldeconomicsassociation.org/files/journals/economicthought/WEA-ET-7-2-Orrell.pdf</w:t>
        </w:r>
      </w:hyperlink>
    </w:p>
    <w:p w14:paraId="38D094BF" w14:textId="20474501" w:rsidR="004845F4" w:rsidRPr="000B49BB" w:rsidRDefault="000B49BB" w:rsidP="00747F9E">
      <w:pPr>
        <w:ind w:firstLine="284"/>
      </w:pPr>
      <w:proofErr w:type="spellStart"/>
      <w:r w:rsidRPr="000B49BB">
        <w:t>Orrell</w:t>
      </w:r>
      <w:proofErr w:type="spellEnd"/>
      <w:r w:rsidRPr="000B49BB">
        <w:t>, David (2024):</w:t>
      </w:r>
      <w:r w:rsidR="004845F4">
        <w:t xml:space="preserve"> </w:t>
      </w:r>
      <w:proofErr w:type="spellStart"/>
      <w:r w:rsidR="004845F4" w:rsidRPr="004845F4">
        <w:t>Quantum</w:t>
      </w:r>
      <w:proofErr w:type="spellEnd"/>
      <w:r w:rsidR="004845F4" w:rsidRPr="004845F4">
        <w:t xml:space="preserve"> </w:t>
      </w:r>
      <w:proofErr w:type="spellStart"/>
      <w:r w:rsidR="004845F4" w:rsidRPr="004845F4">
        <w:t>Economics</w:t>
      </w:r>
      <w:proofErr w:type="spellEnd"/>
      <w:r w:rsidR="004845F4" w:rsidRPr="004845F4">
        <w:t xml:space="preserve"> and </w:t>
      </w:r>
      <w:proofErr w:type="spellStart"/>
      <w:r w:rsidR="004845F4" w:rsidRPr="004845F4">
        <w:t>Physics</w:t>
      </w:r>
      <w:proofErr w:type="spellEnd"/>
      <w:r w:rsidR="004845F4" w:rsidRPr="004845F4">
        <w:t>. </w:t>
      </w:r>
      <w:proofErr w:type="spellStart"/>
      <w:r w:rsidR="004845F4" w:rsidRPr="004845F4">
        <w:rPr>
          <w:i/>
          <w:iCs/>
        </w:rPr>
        <w:t>Quantum</w:t>
      </w:r>
      <w:proofErr w:type="spellEnd"/>
      <w:r w:rsidR="004845F4" w:rsidRPr="004845F4">
        <w:rPr>
          <w:i/>
          <w:iCs/>
        </w:rPr>
        <w:t xml:space="preserve"> </w:t>
      </w:r>
      <w:proofErr w:type="spellStart"/>
      <w:r w:rsidR="004845F4" w:rsidRPr="004845F4">
        <w:rPr>
          <w:i/>
          <w:iCs/>
        </w:rPr>
        <w:t>Economics</w:t>
      </w:r>
      <w:proofErr w:type="spellEnd"/>
      <w:r w:rsidR="004845F4" w:rsidRPr="004845F4">
        <w:rPr>
          <w:i/>
          <w:iCs/>
        </w:rPr>
        <w:t xml:space="preserve"> and </w:t>
      </w:r>
      <w:proofErr w:type="spellStart"/>
      <w:r w:rsidR="004845F4" w:rsidRPr="004845F4">
        <w:rPr>
          <w:i/>
          <w:iCs/>
        </w:rPr>
        <w:t>Finance</w:t>
      </w:r>
      <w:proofErr w:type="spellEnd"/>
      <w:r w:rsidR="004845F4" w:rsidRPr="004845F4">
        <w:t>, </w:t>
      </w:r>
      <w:r w:rsidR="004845F4" w:rsidRPr="004845F4">
        <w:rPr>
          <w:i/>
          <w:iCs/>
        </w:rPr>
        <w:t>1</w:t>
      </w:r>
      <w:r w:rsidR="004845F4" w:rsidRPr="004845F4">
        <w:t>(2), 95-102. </w:t>
      </w:r>
      <w:proofErr w:type="spellStart"/>
      <w:r w:rsidR="004845F4">
        <w:t>Sage</w:t>
      </w:r>
      <w:proofErr w:type="spellEnd"/>
      <w:r w:rsidR="004845F4">
        <w:t xml:space="preserve"> Journal. </w:t>
      </w:r>
      <w:hyperlink r:id="rId32" w:history="1">
        <w:r w:rsidR="004845F4" w:rsidRPr="005F7470">
          <w:rPr>
            <w:rStyle w:val="Hiperhivatkozs"/>
          </w:rPr>
          <w:t>https://doi.org/10.1177/29767032241237547</w:t>
        </w:r>
      </w:hyperlink>
    </w:p>
    <w:p w14:paraId="1B53A37A" w14:textId="77777777" w:rsidR="000B49BB" w:rsidRPr="000B49BB" w:rsidRDefault="000B49BB" w:rsidP="00747F9E">
      <w:pPr>
        <w:ind w:firstLine="284"/>
      </w:pPr>
      <w:r w:rsidRPr="000B49BB">
        <w:t xml:space="preserve">QM </w:t>
      </w:r>
      <w:proofErr w:type="spellStart"/>
      <w:r w:rsidRPr="000B49BB">
        <w:t>Ware</w:t>
      </w:r>
      <w:proofErr w:type="spellEnd"/>
      <w:r w:rsidRPr="000B49BB">
        <w:t xml:space="preserve"> (2024, április 24.): Automotive </w:t>
      </w:r>
      <w:proofErr w:type="spellStart"/>
      <w:r w:rsidRPr="000B49BB">
        <w:t>industry</w:t>
      </w:r>
      <w:proofErr w:type="spellEnd"/>
      <w:r w:rsidRPr="000B49BB">
        <w:t xml:space="preserve"> </w:t>
      </w:r>
      <w:proofErr w:type="spellStart"/>
      <w:r w:rsidRPr="000B49BB">
        <w:t>meets</w:t>
      </w:r>
      <w:proofErr w:type="spellEnd"/>
      <w:r w:rsidRPr="000B49BB">
        <w:t xml:space="preserve"> </w:t>
      </w:r>
      <w:proofErr w:type="spellStart"/>
      <w:r w:rsidRPr="000B49BB">
        <w:t>quantum</w:t>
      </w:r>
      <w:proofErr w:type="spellEnd"/>
      <w:r w:rsidRPr="000B49BB">
        <w:t xml:space="preserve">: </w:t>
      </w:r>
      <w:proofErr w:type="spellStart"/>
      <w:r w:rsidRPr="000B49BB">
        <w:t>Use</w:t>
      </w:r>
      <w:proofErr w:type="spellEnd"/>
      <w:r w:rsidRPr="000B49BB">
        <w:t xml:space="preserve"> cases. </w:t>
      </w:r>
      <w:hyperlink r:id="rId33" w:tgtFrame="_blank" w:history="1">
        <w:r w:rsidRPr="000B49BB">
          <w:rPr>
            <w:rStyle w:val="Hiperhivatkozs"/>
            <w:b/>
            <w:bCs/>
          </w:rPr>
          <w:t>https://www.qm-ware.com/use-cases/automotive-meets-quantum/</w:t>
        </w:r>
      </w:hyperlink>
      <w:r w:rsidRPr="000B49BB">
        <w:t> Letöltve: 2025. október 31.</w:t>
      </w:r>
    </w:p>
    <w:p w14:paraId="72B33CFC" w14:textId="77777777" w:rsidR="000B49BB" w:rsidRPr="000B49BB" w:rsidRDefault="000B49BB" w:rsidP="00747F9E">
      <w:pPr>
        <w:ind w:firstLine="284"/>
      </w:pPr>
      <w:proofErr w:type="spellStart"/>
      <w:r w:rsidRPr="000B49BB">
        <w:t>Rodrik</w:t>
      </w:r>
      <w:proofErr w:type="spellEnd"/>
      <w:r w:rsidRPr="000B49BB">
        <w:t xml:space="preserve">, Dani (2015): </w:t>
      </w:r>
      <w:proofErr w:type="spellStart"/>
      <w:r w:rsidRPr="000B49BB">
        <w:t>Economics</w:t>
      </w:r>
      <w:proofErr w:type="spellEnd"/>
      <w:r w:rsidRPr="000B49BB">
        <w:t xml:space="preserve"> </w:t>
      </w:r>
      <w:proofErr w:type="spellStart"/>
      <w:r w:rsidRPr="000B49BB">
        <w:t>rules</w:t>
      </w:r>
      <w:proofErr w:type="spellEnd"/>
      <w:r w:rsidRPr="000B49BB">
        <w:t xml:space="preserve">: The </w:t>
      </w:r>
      <w:proofErr w:type="spellStart"/>
      <w:r w:rsidRPr="000B49BB">
        <w:t>rights</w:t>
      </w:r>
      <w:proofErr w:type="spellEnd"/>
      <w:r w:rsidRPr="000B49BB">
        <w:t xml:space="preserve"> and </w:t>
      </w:r>
      <w:proofErr w:type="spellStart"/>
      <w:r w:rsidRPr="000B49BB">
        <w:t>wrongs</w:t>
      </w:r>
      <w:proofErr w:type="spellEnd"/>
      <w:r w:rsidRPr="000B49BB">
        <w:t xml:space="preserve"> of </w:t>
      </w:r>
      <w:proofErr w:type="spellStart"/>
      <w:r w:rsidRPr="000B49BB">
        <w:t>the</w:t>
      </w:r>
      <w:proofErr w:type="spellEnd"/>
      <w:r w:rsidRPr="000B49BB">
        <w:t xml:space="preserve"> </w:t>
      </w:r>
      <w:proofErr w:type="spellStart"/>
      <w:r w:rsidRPr="000B49BB">
        <w:t>dismal</w:t>
      </w:r>
      <w:proofErr w:type="spellEnd"/>
      <w:r w:rsidRPr="000B49BB">
        <w:t xml:space="preserve"> </w:t>
      </w:r>
      <w:proofErr w:type="spellStart"/>
      <w:r w:rsidRPr="000B49BB">
        <w:t>science</w:t>
      </w:r>
      <w:proofErr w:type="spellEnd"/>
      <w:r w:rsidRPr="000B49BB">
        <w:t xml:space="preserve">. New York, W. W. Norton &amp; </w:t>
      </w:r>
      <w:proofErr w:type="spellStart"/>
      <w:r w:rsidRPr="000B49BB">
        <w:t>Company</w:t>
      </w:r>
      <w:proofErr w:type="spellEnd"/>
      <w:r w:rsidRPr="000B49BB">
        <w:t>.</w:t>
      </w:r>
    </w:p>
    <w:p w14:paraId="61377C31" w14:textId="77777777" w:rsidR="000B49BB" w:rsidRPr="000B49BB" w:rsidRDefault="000B49BB" w:rsidP="00747F9E">
      <w:pPr>
        <w:ind w:firstLine="284"/>
      </w:pPr>
      <w:proofErr w:type="spellStart"/>
      <w:r w:rsidRPr="000B49BB">
        <w:t>Scheffer</w:t>
      </w:r>
      <w:proofErr w:type="spellEnd"/>
      <w:r w:rsidRPr="000B49BB">
        <w:t xml:space="preserve">, </w:t>
      </w:r>
      <w:proofErr w:type="spellStart"/>
      <w:r w:rsidRPr="000B49BB">
        <w:t>Marten</w:t>
      </w:r>
      <w:proofErr w:type="spellEnd"/>
      <w:r w:rsidRPr="000B49BB">
        <w:t xml:space="preserve"> (2009): </w:t>
      </w:r>
      <w:proofErr w:type="spellStart"/>
      <w:r w:rsidRPr="000B49BB">
        <w:t>Critical</w:t>
      </w:r>
      <w:proofErr w:type="spellEnd"/>
      <w:r w:rsidRPr="000B49BB">
        <w:t xml:space="preserve"> </w:t>
      </w:r>
      <w:proofErr w:type="spellStart"/>
      <w:r w:rsidRPr="000B49BB">
        <w:t>transitions</w:t>
      </w:r>
      <w:proofErr w:type="spellEnd"/>
      <w:r w:rsidRPr="000B49BB">
        <w:t xml:space="preserve"> in </w:t>
      </w:r>
      <w:proofErr w:type="spellStart"/>
      <w:r w:rsidRPr="000B49BB">
        <w:t>nature</w:t>
      </w:r>
      <w:proofErr w:type="spellEnd"/>
      <w:r w:rsidRPr="000B49BB">
        <w:t xml:space="preserve"> and </w:t>
      </w:r>
      <w:proofErr w:type="spellStart"/>
      <w:r w:rsidRPr="000B49BB">
        <w:t>society</w:t>
      </w:r>
      <w:proofErr w:type="spellEnd"/>
      <w:r w:rsidRPr="000B49BB">
        <w:t>. Princeton, Princeton University Press. </w:t>
      </w:r>
      <w:hyperlink r:id="rId34" w:tgtFrame="_blank" w:history="1">
        <w:r w:rsidRPr="000B49BB">
          <w:rPr>
            <w:rStyle w:val="Hiperhivatkozs"/>
            <w:b/>
            <w:bCs/>
          </w:rPr>
          <w:t>https://doi.org/10.1515/9781400833276</w:t>
        </w:r>
      </w:hyperlink>
    </w:p>
    <w:p w14:paraId="28A44C54" w14:textId="77777777" w:rsidR="000B49BB" w:rsidRPr="000B49BB" w:rsidRDefault="000B49BB" w:rsidP="00747F9E">
      <w:pPr>
        <w:ind w:firstLine="284"/>
      </w:pPr>
      <w:proofErr w:type="spellStart"/>
      <w:r w:rsidRPr="000B49BB">
        <w:t>Scheffer</w:t>
      </w:r>
      <w:proofErr w:type="spellEnd"/>
      <w:r w:rsidRPr="000B49BB">
        <w:t xml:space="preserve">, </w:t>
      </w:r>
      <w:proofErr w:type="spellStart"/>
      <w:r w:rsidRPr="000B49BB">
        <w:t>Marten</w:t>
      </w:r>
      <w:proofErr w:type="spellEnd"/>
      <w:r w:rsidRPr="000B49BB">
        <w:t xml:space="preserve"> – </w:t>
      </w:r>
      <w:proofErr w:type="spellStart"/>
      <w:r w:rsidRPr="000B49BB">
        <w:t>Bascompte</w:t>
      </w:r>
      <w:proofErr w:type="spellEnd"/>
      <w:r w:rsidRPr="000B49BB">
        <w:t xml:space="preserve">, </w:t>
      </w:r>
      <w:proofErr w:type="spellStart"/>
      <w:r w:rsidRPr="000B49BB">
        <w:t>Jordi</w:t>
      </w:r>
      <w:proofErr w:type="spellEnd"/>
      <w:r w:rsidRPr="000B49BB">
        <w:t xml:space="preserve"> – </w:t>
      </w:r>
      <w:proofErr w:type="spellStart"/>
      <w:r w:rsidRPr="000B49BB">
        <w:t>Brock</w:t>
      </w:r>
      <w:proofErr w:type="spellEnd"/>
      <w:r w:rsidRPr="000B49BB">
        <w:t xml:space="preserve">, William A. – </w:t>
      </w:r>
      <w:proofErr w:type="spellStart"/>
      <w:r w:rsidRPr="000B49BB">
        <w:t>Brovkin</w:t>
      </w:r>
      <w:proofErr w:type="spellEnd"/>
      <w:r w:rsidRPr="000B49BB">
        <w:t xml:space="preserve">, Victor – </w:t>
      </w:r>
      <w:proofErr w:type="spellStart"/>
      <w:r w:rsidRPr="000B49BB">
        <w:t>Carpenter</w:t>
      </w:r>
      <w:proofErr w:type="spellEnd"/>
      <w:r w:rsidRPr="000B49BB">
        <w:t xml:space="preserve">, Stephen R. – </w:t>
      </w:r>
      <w:proofErr w:type="spellStart"/>
      <w:r w:rsidRPr="000B49BB">
        <w:t>Dakos</w:t>
      </w:r>
      <w:proofErr w:type="spellEnd"/>
      <w:r w:rsidRPr="000B49BB">
        <w:t xml:space="preserve">, </w:t>
      </w:r>
      <w:proofErr w:type="spellStart"/>
      <w:r w:rsidRPr="000B49BB">
        <w:t>Vasilis</w:t>
      </w:r>
      <w:proofErr w:type="spellEnd"/>
      <w:r w:rsidRPr="000B49BB">
        <w:t xml:space="preserve"> – </w:t>
      </w:r>
      <w:proofErr w:type="spellStart"/>
      <w:r w:rsidRPr="000B49BB">
        <w:t>Held</w:t>
      </w:r>
      <w:proofErr w:type="spellEnd"/>
      <w:r w:rsidRPr="000B49BB">
        <w:t xml:space="preserve">, Hermann – van </w:t>
      </w:r>
      <w:proofErr w:type="spellStart"/>
      <w:r w:rsidRPr="000B49BB">
        <w:t>Nes</w:t>
      </w:r>
      <w:proofErr w:type="spellEnd"/>
      <w:r w:rsidRPr="000B49BB">
        <w:t xml:space="preserve">, Egbert H. – </w:t>
      </w:r>
      <w:proofErr w:type="spellStart"/>
      <w:r w:rsidRPr="000B49BB">
        <w:t>Rietkerk</w:t>
      </w:r>
      <w:proofErr w:type="spellEnd"/>
      <w:r w:rsidRPr="000B49BB">
        <w:t xml:space="preserve">, Max – </w:t>
      </w:r>
      <w:proofErr w:type="spellStart"/>
      <w:r w:rsidRPr="000B49BB">
        <w:t>Sugihara</w:t>
      </w:r>
      <w:proofErr w:type="spellEnd"/>
      <w:r w:rsidRPr="000B49BB">
        <w:t xml:space="preserve">, George (2009): </w:t>
      </w:r>
      <w:proofErr w:type="spellStart"/>
      <w:r w:rsidRPr="000B49BB">
        <w:t>Early-warning</w:t>
      </w:r>
      <w:proofErr w:type="spellEnd"/>
      <w:r w:rsidRPr="000B49BB">
        <w:t xml:space="preserve"> </w:t>
      </w:r>
      <w:proofErr w:type="spellStart"/>
      <w:r w:rsidRPr="000B49BB">
        <w:t>signals</w:t>
      </w:r>
      <w:proofErr w:type="spellEnd"/>
      <w:r w:rsidRPr="000B49BB">
        <w:t xml:space="preserve"> </w:t>
      </w:r>
      <w:proofErr w:type="spellStart"/>
      <w:r w:rsidRPr="000B49BB">
        <w:t>for</w:t>
      </w:r>
      <w:proofErr w:type="spellEnd"/>
      <w:r w:rsidRPr="000B49BB">
        <w:t xml:space="preserve"> </w:t>
      </w:r>
      <w:proofErr w:type="spellStart"/>
      <w:r w:rsidRPr="000B49BB">
        <w:t>critical</w:t>
      </w:r>
      <w:proofErr w:type="spellEnd"/>
      <w:r w:rsidRPr="000B49BB">
        <w:t xml:space="preserve"> </w:t>
      </w:r>
      <w:proofErr w:type="spellStart"/>
      <w:r w:rsidRPr="000B49BB">
        <w:t>transitions</w:t>
      </w:r>
      <w:proofErr w:type="spellEnd"/>
      <w:r w:rsidRPr="000B49BB">
        <w:t xml:space="preserve">. </w:t>
      </w:r>
      <w:proofErr w:type="spellStart"/>
      <w:r w:rsidRPr="000B49BB">
        <w:t>Nature</w:t>
      </w:r>
      <w:proofErr w:type="spellEnd"/>
      <w:r w:rsidRPr="000B49BB">
        <w:t>, 461. évfolyam, 53-59. </w:t>
      </w:r>
      <w:hyperlink r:id="rId35" w:tgtFrame="_blank" w:history="1">
        <w:r w:rsidRPr="000B49BB">
          <w:rPr>
            <w:rStyle w:val="Hiperhivatkozs"/>
            <w:b/>
            <w:bCs/>
          </w:rPr>
          <w:t>https://doi.org/10.1038/nature08227</w:t>
        </w:r>
      </w:hyperlink>
    </w:p>
    <w:p w14:paraId="4210F4E7" w14:textId="77777777" w:rsidR="000B49BB" w:rsidRPr="000B49BB" w:rsidRDefault="000B49BB" w:rsidP="00747F9E">
      <w:pPr>
        <w:ind w:firstLine="284"/>
      </w:pPr>
      <w:r w:rsidRPr="000B49BB">
        <w:t xml:space="preserve">SUERF (2025): </w:t>
      </w:r>
      <w:proofErr w:type="spellStart"/>
      <w:r w:rsidRPr="000B49BB">
        <w:t>Beyond</w:t>
      </w:r>
      <w:proofErr w:type="spellEnd"/>
      <w:r w:rsidRPr="000B49BB">
        <w:t xml:space="preserve"> </w:t>
      </w:r>
      <w:proofErr w:type="spellStart"/>
      <w:r w:rsidRPr="000B49BB">
        <w:t>averages</w:t>
      </w:r>
      <w:proofErr w:type="spellEnd"/>
      <w:r w:rsidRPr="000B49BB">
        <w:t xml:space="preserve">: </w:t>
      </w:r>
      <w:proofErr w:type="spellStart"/>
      <w:r w:rsidRPr="000B49BB">
        <w:t>Heterogeneous</w:t>
      </w:r>
      <w:proofErr w:type="spellEnd"/>
      <w:r w:rsidRPr="000B49BB">
        <w:t xml:space="preserve"> </w:t>
      </w:r>
      <w:proofErr w:type="spellStart"/>
      <w:r w:rsidRPr="000B49BB">
        <w:t>effects</w:t>
      </w:r>
      <w:proofErr w:type="spellEnd"/>
      <w:r w:rsidRPr="000B49BB">
        <w:t xml:space="preserve"> of </w:t>
      </w:r>
      <w:proofErr w:type="spellStart"/>
      <w:r w:rsidRPr="000B49BB">
        <w:t>monetary</w:t>
      </w:r>
      <w:proofErr w:type="spellEnd"/>
      <w:r w:rsidRPr="000B49BB">
        <w:t xml:space="preserve"> policy in </w:t>
      </w:r>
      <w:proofErr w:type="spellStart"/>
      <w:r w:rsidRPr="000B49BB">
        <w:t>the</w:t>
      </w:r>
      <w:proofErr w:type="spellEnd"/>
      <w:r w:rsidRPr="000B49BB">
        <w:t xml:space="preserve"> Euro </w:t>
      </w:r>
      <w:proofErr w:type="spellStart"/>
      <w:r w:rsidRPr="000B49BB">
        <w:t>Area</w:t>
      </w:r>
      <w:proofErr w:type="spellEnd"/>
      <w:r w:rsidRPr="000B49BB">
        <w:t>. SUERF Policy Note. </w:t>
      </w:r>
      <w:hyperlink r:id="rId36" w:tgtFrame="_blank" w:history="1">
        <w:r w:rsidRPr="000B49BB">
          <w:rPr>
            <w:rStyle w:val="Hiperhivatkozs"/>
            <w:b/>
            <w:bCs/>
          </w:rPr>
          <w:t>https://www.suerf.org/publications/suerf-policy-notes-and-briefs/beyond-averages-heterogeneous-effects-of-monetary-policy-in-the-euro-area/</w:t>
        </w:r>
      </w:hyperlink>
    </w:p>
    <w:p w14:paraId="1F901936" w14:textId="77777777" w:rsidR="000B49BB" w:rsidRPr="000B49BB" w:rsidRDefault="000B49BB" w:rsidP="00747F9E">
      <w:pPr>
        <w:ind w:firstLine="284"/>
      </w:pPr>
      <w:r w:rsidRPr="000B49BB">
        <w:t>Váradi Dániel (2023): Az EU monitoring rendszernek mesterséges intelligencia alapokra helyezése. Szakdolgozat, Kodolányi János Egyetem, Budapest.</w:t>
      </w:r>
    </w:p>
    <w:p w14:paraId="7623F78B" w14:textId="77777777" w:rsidR="000B49BB" w:rsidRPr="000B49BB" w:rsidRDefault="000B49BB" w:rsidP="00747F9E">
      <w:pPr>
        <w:ind w:firstLine="284"/>
      </w:pPr>
      <w:r w:rsidRPr="000B49BB">
        <w:t xml:space="preserve">Váradi Dániel (2025): Budapesti kerületek és a közvetlen szomszédságot jelentő települések kulturális kohéziójának automatizált mérése mesterséges intelligencia segítségével. </w:t>
      </w:r>
      <w:proofErr w:type="spellStart"/>
      <w:r w:rsidRPr="000B49BB">
        <w:t>MSc</w:t>
      </w:r>
      <w:proofErr w:type="spellEnd"/>
      <w:r w:rsidRPr="000B49BB">
        <w:t xml:space="preserve"> diplomamunka, Kodolányi János Egyetem, Budapest.</w:t>
      </w:r>
    </w:p>
    <w:p w14:paraId="5CDC81E9" w14:textId="77777777" w:rsidR="000B49BB" w:rsidRPr="000B49BB" w:rsidRDefault="000B49BB" w:rsidP="00747F9E">
      <w:pPr>
        <w:ind w:firstLine="284"/>
      </w:pPr>
      <w:r w:rsidRPr="000B49BB">
        <w:t>Váradi Dániel – Pitlik László (2023): A homogenitás és az autonómia fogalmak kapcsolata egymással és a mesterséges intelligencia lehetőségeivel. Autonómia és Társadalom, 3. évfolyam 3-4. szám, 94-111.</w:t>
      </w:r>
    </w:p>
    <w:p w14:paraId="1270AF93" w14:textId="77777777" w:rsidR="000B49BB" w:rsidRPr="000B49BB" w:rsidRDefault="000B49BB" w:rsidP="00747F9E">
      <w:pPr>
        <w:ind w:firstLine="284"/>
      </w:pPr>
      <w:r w:rsidRPr="000B49BB">
        <w:lastRenderedPageBreak/>
        <w:t xml:space="preserve">Váradi Dániel – Pitlik László </w:t>
      </w:r>
      <w:proofErr w:type="spellStart"/>
      <w:r w:rsidRPr="000B49BB">
        <w:t>Jr</w:t>
      </w:r>
      <w:proofErr w:type="spellEnd"/>
      <w:r w:rsidRPr="000B49BB">
        <w:t xml:space="preserve">. – Pitlik Mátyás – Pitlik László (2024): </w:t>
      </w:r>
      <w:proofErr w:type="spellStart"/>
      <w:r w:rsidRPr="000B49BB">
        <w:t>Homogeneity</w:t>
      </w:r>
      <w:proofErr w:type="spellEnd"/>
      <w:r w:rsidRPr="000B49BB">
        <w:t xml:space="preserve"> </w:t>
      </w:r>
      <w:proofErr w:type="spellStart"/>
      <w:r w:rsidRPr="000B49BB">
        <w:t>analysis</w:t>
      </w:r>
      <w:proofErr w:type="spellEnd"/>
      <w:r w:rsidRPr="000B49BB">
        <w:t xml:space="preserve"> </w:t>
      </w:r>
      <w:proofErr w:type="spellStart"/>
      <w:r w:rsidRPr="000B49BB">
        <w:t>for</w:t>
      </w:r>
      <w:proofErr w:type="spellEnd"/>
      <w:r w:rsidRPr="000B49BB">
        <w:t xml:space="preserve"> </w:t>
      </w:r>
      <w:proofErr w:type="spellStart"/>
      <w:r w:rsidRPr="000B49BB">
        <w:t>sustainable</w:t>
      </w:r>
      <w:proofErr w:type="spellEnd"/>
      <w:r w:rsidRPr="000B49BB">
        <w:t xml:space="preserve"> </w:t>
      </w:r>
      <w:proofErr w:type="spellStart"/>
      <w:r w:rsidRPr="000B49BB">
        <w:t>regions</w:t>
      </w:r>
      <w:proofErr w:type="spellEnd"/>
      <w:r w:rsidRPr="000B49BB">
        <w:t xml:space="preserve">: </w:t>
      </w:r>
      <w:proofErr w:type="spellStart"/>
      <w:r w:rsidRPr="000B49BB">
        <w:t>Case</w:t>
      </w:r>
      <w:proofErr w:type="spellEnd"/>
      <w:r w:rsidRPr="000B49BB">
        <w:t xml:space="preserve"> </w:t>
      </w:r>
      <w:proofErr w:type="spellStart"/>
      <w:r w:rsidRPr="000B49BB">
        <w:t>study</w:t>
      </w:r>
      <w:proofErr w:type="spellEnd"/>
      <w:r w:rsidRPr="000B49BB">
        <w:t xml:space="preserve"> Mezőföld. In: 5th International </w:t>
      </w:r>
      <w:proofErr w:type="spellStart"/>
      <w:r w:rsidRPr="000B49BB">
        <w:t>Congress</w:t>
      </w:r>
      <w:proofErr w:type="spellEnd"/>
      <w:r w:rsidRPr="000B49BB">
        <w:t xml:space="preserve"> </w:t>
      </w:r>
      <w:proofErr w:type="spellStart"/>
      <w:r w:rsidRPr="000B49BB">
        <w:t>on</w:t>
      </w:r>
      <w:proofErr w:type="spellEnd"/>
      <w:r w:rsidRPr="000B49BB">
        <w:t xml:space="preserve"> </w:t>
      </w:r>
      <w:proofErr w:type="spellStart"/>
      <w:r w:rsidRPr="000B49BB">
        <w:t>Scientific</w:t>
      </w:r>
      <w:proofErr w:type="spellEnd"/>
      <w:r w:rsidRPr="000B49BB">
        <w:t xml:space="preserve"> Research, IKSAD Institute, 1-15. </w:t>
      </w:r>
      <w:hyperlink r:id="rId37" w:tgtFrame="_blank" w:history="1">
        <w:r w:rsidRPr="000B49BB">
          <w:rPr>
            <w:rStyle w:val="Hiperhivatkozs"/>
            <w:b/>
            <w:bCs/>
          </w:rPr>
          <w:t>https://miau.my-x.hu/miau/311/KAYSER%C4%B0%20KONGRE%20K%C4%B0TABI%20SON.pdf</w:t>
        </w:r>
      </w:hyperlink>
    </w:p>
    <w:p w14:paraId="67653DDD" w14:textId="77777777" w:rsidR="00A64720" w:rsidRPr="00BE6A53" w:rsidRDefault="00A64720" w:rsidP="00CE0D1C">
      <w:pPr>
        <w:ind w:firstLine="0"/>
      </w:pPr>
    </w:p>
    <w:sectPr w:rsidR="00A64720" w:rsidRPr="00BE6A53" w:rsidSect="00467B9A">
      <w:footerReference w:type="default" r:id="rId3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997DC" w14:textId="77777777" w:rsidR="000C072D" w:rsidRPr="003E168A" w:rsidRDefault="000C072D" w:rsidP="00360A3B">
      <w:pPr>
        <w:spacing w:line="240" w:lineRule="auto"/>
      </w:pPr>
      <w:r w:rsidRPr="003E168A">
        <w:separator/>
      </w:r>
    </w:p>
  </w:endnote>
  <w:endnote w:type="continuationSeparator" w:id="0">
    <w:p w14:paraId="1489ADF1" w14:textId="77777777" w:rsidR="000C072D" w:rsidRPr="003E168A" w:rsidRDefault="000C072D" w:rsidP="00360A3B">
      <w:pPr>
        <w:spacing w:line="240" w:lineRule="auto"/>
      </w:pPr>
      <w:r w:rsidRPr="003E16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132457"/>
      <w:docPartObj>
        <w:docPartGallery w:val="Page Numbers (Bottom of Page)"/>
        <w:docPartUnique/>
      </w:docPartObj>
    </w:sdtPr>
    <w:sdtContent>
      <w:p w14:paraId="4F631AD0" w14:textId="287A08C7" w:rsidR="00467B9A" w:rsidRPr="003E168A" w:rsidRDefault="00467B9A">
        <w:pPr>
          <w:pStyle w:val="llb"/>
          <w:jc w:val="right"/>
        </w:pPr>
        <w:r w:rsidRPr="003E168A">
          <w:fldChar w:fldCharType="begin"/>
        </w:r>
        <w:r w:rsidRPr="003E168A">
          <w:instrText>PAGE   \* MERGEFORMAT</w:instrText>
        </w:r>
        <w:r w:rsidRPr="003E168A">
          <w:fldChar w:fldCharType="separate"/>
        </w:r>
        <w:r w:rsidRPr="003E168A">
          <w:t>2</w:t>
        </w:r>
        <w:r w:rsidRPr="003E168A">
          <w:fldChar w:fldCharType="end"/>
        </w:r>
      </w:p>
    </w:sdtContent>
  </w:sdt>
  <w:p w14:paraId="7224BC16" w14:textId="77777777" w:rsidR="00467B9A" w:rsidRPr="003E168A" w:rsidRDefault="00467B9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5A352" w14:textId="77777777" w:rsidR="000C072D" w:rsidRPr="003E168A" w:rsidRDefault="000C072D" w:rsidP="00360A3B">
      <w:pPr>
        <w:spacing w:line="240" w:lineRule="auto"/>
      </w:pPr>
      <w:r w:rsidRPr="003E168A">
        <w:separator/>
      </w:r>
    </w:p>
  </w:footnote>
  <w:footnote w:type="continuationSeparator" w:id="0">
    <w:p w14:paraId="01BDF334" w14:textId="77777777" w:rsidR="000C072D" w:rsidRPr="003E168A" w:rsidRDefault="000C072D" w:rsidP="00360A3B">
      <w:pPr>
        <w:spacing w:line="240" w:lineRule="auto"/>
      </w:pPr>
      <w:r w:rsidRPr="003E168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3FC"/>
    <w:multiLevelType w:val="multilevel"/>
    <w:tmpl w:val="AC98F876"/>
    <w:lvl w:ilvl="0">
      <w:start w:val="1"/>
      <w:numFmt w:val="bullet"/>
      <w:lvlText w:val=""/>
      <w:lvlJc w:val="left"/>
      <w:pPr>
        <w:ind w:left="1776" w:hanging="360"/>
      </w:pPr>
      <w:rPr>
        <w:rFonts w:ascii="Symbol" w:hAnsi="Symbol" w:hint="default"/>
      </w:rPr>
    </w:lvl>
    <w:lvl w:ilvl="1">
      <w:start w:val="1"/>
      <w:numFmt w:val="bullet"/>
      <w:lvlText w:val=""/>
      <w:lvlJc w:val="left"/>
      <w:pPr>
        <w:ind w:left="9855" w:hanging="360"/>
      </w:pPr>
      <w:rPr>
        <w:rFonts w:ascii="Symbol" w:hAnsi="Symbol" w:hint="default"/>
      </w:rPr>
    </w:lvl>
    <w:lvl w:ilvl="2">
      <w:start w:val="1"/>
      <w:numFmt w:val="decimal"/>
      <w:lvlText w:val="%1.%2.%3."/>
      <w:lvlJc w:val="left"/>
      <w:pPr>
        <w:ind w:left="2640" w:hanging="504"/>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1" w15:restartNumberingAfterBreak="0">
    <w:nsid w:val="337E3138"/>
    <w:multiLevelType w:val="hybridMultilevel"/>
    <w:tmpl w:val="EE8028B6"/>
    <w:lvl w:ilvl="0" w:tplc="040E0001">
      <w:start w:val="1"/>
      <w:numFmt w:val="bullet"/>
      <w:lvlText w:val=""/>
      <w:lvlJc w:val="left"/>
      <w:pPr>
        <w:ind w:left="1060" w:hanging="360"/>
      </w:pPr>
      <w:rPr>
        <w:rFonts w:ascii="Symbol" w:hAnsi="Symbol" w:hint="default"/>
      </w:rPr>
    </w:lvl>
    <w:lvl w:ilvl="1" w:tplc="040E0003" w:tentative="1">
      <w:start w:val="1"/>
      <w:numFmt w:val="bullet"/>
      <w:lvlText w:val="o"/>
      <w:lvlJc w:val="left"/>
      <w:pPr>
        <w:ind w:left="1780" w:hanging="360"/>
      </w:pPr>
      <w:rPr>
        <w:rFonts w:ascii="Courier New" w:hAnsi="Courier New" w:cs="Courier New" w:hint="default"/>
      </w:rPr>
    </w:lvl>
    <w:lvl w:ilvl="2" w:tplc="040E0005" w:tentative="1">
      <w:start w:val="1"/>
      <w:numFmt w:val="bullet"/>
      <w:lvlText w:val=""/>
      <w:lvlJc w:val="left"/>
      <w:pPr>
        <w:ind w:left="2500" w:hanging="360"/>
      </w:pPr>
      <w:rPr>
        <w:rFonts w:ascii="Wingdings" w:hAnsi="Wingdings" w:hint="default"/>
      </w:rPr>
    </w:lvl>
    <w:lvl w:ilvl="3" w:tplc="040E0001" w:tentative="1">
      <w:start w:val="1"/>
      <w:numFmt w:val="bullet"/>
      <w:lvlText w:val=""/>
      <w:lvlJc w:val="left"/>
      <w:pPr>
        <w:ind w:left="3220" w:hanging="360"/>
      </w:pPr>
      <w:rPr>
        <w:rFonts w:ascii="Symbol" w:hAnsi="Symbol" w:hint="default"/>
      </w:rPr>
    </w:lvl>
    <w:lvl w:ilvl="4" w:tplc="040E0003" w:tentative="1">
      <w:start w:val="1"/>
      <w:numFmt w:val="bullet"/>
      <w:lvlText w:val="o"/>
      <w:lvlJc w:val="left"/>
      <w:pPr>
        <w:ind w:left="3940" w:hanging="360"/>
      </w:pPr>
      <w:rPr>
        <w:rFonts w:ascii="Courier New" w:hAnsi="Courier New" w:cs="Courier New" w:hint="default"/>
      </w:rPr>
    </w:lvl>
    <w:lvl w:ilvl="5" w:tplc="040E0005" w:tentative="1">
      <w:start w:val="1"/>
      <w:numFmt w:val="bullet"/>
      <w:lvlText w:val=""/>
      <w:lvlJc w:val="left"/>
      <w:pPr>
        <w:ind w:left="4660" w:hanging="360"/>
      </w:pPr>
      <w:rPr>
        <w:rFonts w:ascii="Wingdings" w:hAnsi="Wingdings" w:hint="default"/>
      </w:rPr>
    </w:lvl>
    <w:lvl w:ilvl="6" w:tplc="040E0001" w:tentative="1">
      <w:start w:val="1"/>
      <w:numFmt w:val="bullet"/>
      <w:lvlText w:val=""/>
      <w:lvlJc w:val="left"/>
      <w:pPr>
        <w:ind w:left="5380" w:hanging="360"/>
      </w:pPr>
      <w:rPr>
        <w:rFonts w:ascii="Symbol" w:hAnsi="Symbol" w:hint="default"/>
      </w:rPr>
    </w:lvl>
    <w:lvl w:ilvl="7" w:tplc="040E0003" w:tentative="1">
      <w:start w:val="1"/>
      <w:numFmt w:val="bullet"/>
      <w:lvlText w:val="o"/>
      <w:lvlJc w:val="left"/>
      <w:pPr>
        <w:ind w:left="6100" w:hanging="360"/>
      </w:pPr>
      <w:rPr>
        <w:rFonts w:ascii="Courier New" w:hAnsi="Courier New" w:cs="Courier New" w:hint="default"/>
      </w:rPr>
    </w:lvl>
    <w:lvl w:ilvl="8" w:tplc="040E0005" w:tentative="1">
      <w:start w:val="1"/>
      <w:numFmt w:val="bullet"/>
      <w:lvlText w:val=""/>
      <w:lvlJc w:val="left"/>
      <w:pPr>
        <w:ind w:left="6820" w:hanging="360"/>
      </w:pPr>
      <w:rPr>
        <w:rFonts w:ascii="Wingdings" w:hAnsi="Wingdings" w:hint="default"/>
      </w:rPr>
    </w:lvl>
  </w:abstractNum>
  <w:abstractNum w:abstractNumId="2" w15:restartNumberingAfterBreak="0">
    <w:nsid w:val="33AC1C76"/>
    <w:multiLevelType w:val="multilevel"/>
    <w:tmpl w:val="8FB457C2"/>
    <w:lvl w:ilvl="0">
      <w:start w:val="1"/>
      <w:numFmt w:val="bullet"/>
      <w:lvlText w:val=""/>
      <w:lvlJc w:val="left"/>
      <w:pPr>
        <w:ind w:left="1068" w:hanging="360"/>
      </w:pPr>
      <w:rPr>
        <w:rFonts w:ascii="Symbol" w:hAnsi="Symbol" w:hint="default"/>
      </w:rPr>
    </w:lvl>
    <w:lvl w:ilvl="1">
      <w:start w:val="1"/>
      <w:numFmt w:val="decimal"/>
      <w:lvlText w:val="%1.%2."/>
      <w:lvlJc w:val="left"/>
      <w:pPr>
        <w:ind w:left="9219"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 w15:restartNumberingAfterBreak="0">
    <w:nsid w:val="4AAB3CFD"/>
    <w:multiLevelType w:val="multilevel"/>
    <w:tmpl w:val="BD363FC4"/>
    <w:lvl w:ilvl="0">
      <w:start w:val="1"/>
      <w:numFmt w:val="decimal"/>
      <w:pStyle w:val="fejezet1"/>
      <w:lvlText w:val="%1."/>
      <w:lvlJc w:val="left"/>
      <w:pPr>
        <w:ind w:left="360" w:hanging="360"/>
      </w:pPr>
      <w:rPr>
        <w:rFonts w:hint="default"/>
      </w:rPr>
    </w:lvl>
    <w:lvl w:ilvl="1">
      <w:start w:val="1"/>
      <w:numFmt w:val="decimal"/>
      <w:pStyle w:val="fejezet2"/>
      <w:lvlText w:val="%1.%2."/>
      <w:lvlJc w:val="left"/>
      <w:pPr>
        <w:ind w:left="8511" w:hanging="432"/>
      </w:pPr>
      <w:rPr>
        <w:rFonts w:hint="default"/>
      </w:rPr>
    </w:lvl>
    <w:lvl w:ilvl="2">
      <w:start w:val="1"/>
      <w:numFmt w:val="decimal"/>
      <w:pStyle w:val="fejezet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F400C92"/>
    <w:multiLevelType w:val="multilevel"/>
    <w:tmpl w:val="8FB457C2"/>
    <w:lvl w:ilvl="0">
      <w:start w:val="1"/>
      <w:numFmt w:val="bullet"/>
      <w:lvlText w:val=""/>
      <w:lvlJc w:val="left"/>
      <w:pPr>
        <w:ind w:left="360" w:hanging="360"/>
      </w:pPr>
      <w:rPr>
        <w:rFonts w:ascii="Symbol" w:hAnsi="Symbol" w:hint="default"/>
      </w:rPr>
    </w:lvl>
    <w:lvl w:ilvl="1">
      <w:start w:val="1"/>
      <w:numFmt w:val="decimal"/>
      <w:lvlText w:val="%1.%2."/>
      <w:lvlJc w:val="left"/>
      <w:pPr>
        <w:ind w:left="851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5835704"/>
    <w:multiLevelType w:val="multilevel"/>
    <w:tmpl w:val="D1485C9A"/>
    <w:lvl w:ilvl="0">
      <w:start w:val="1"/>
      <w:numFmt w:val="bullet"/>
      <w:lvlText w:val="-"/>
      <w:lvlJc w:val="left"/>
      <w:pPr>
        <w:ind w:left="1068" w:hanging="360"/>
      </w:pPr>
      <w:rPr>
        <w:rFonts w:ascii="Calibri" w:hAnsi="Calibri" w:hint="default"/>
      </w:rPr>
    </w:lvl>
    <w:lvl w:ilvl="1">
      <w:start w:val="1"/>
      <w:numFmt w:val="decimal"/>
      <w:lvlText w:val="%1.%2."/>
      <w:lvlJc w:val="left"/>
      <w:pPr>
        <w:ind w:left="9219"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6" w15:restartNumberingAfterBreak="0">
    <w:nsid w:val="55A308C7"/>
    <w:multiLevelType w:val="hybridMultilevel"/>
    <w:tmpl w:val="F294A5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410935423">
    <w:abstractNumId w:val="3"/>
  </w:num>
  <w:num w:numId="2" w16cid:durableId="1551652620">
    <w:abstractNumId w:val="3"/>
  </w:num>
  <w:num w:numId="3" w16cid:durableId="862551338">
    <w:abstractNumId w:val="3"/>
  </w:num>
  <w:num w:numId="4" w16cid:durableId="517358171">
    <w:abstractNumId w:val="3"/>
  </w:num>
  <w:num w:numId="5" w16cid:durableId="2122064228">
    <w:abstractNumId w:val="3"/>
  </w:num>
  <w:num w:numId="6" w16cid:durableId="949316059">
    <w:abstractNumId w:val="3"/>
  </w:num>
  <w:num w:numId="7" w16cid:durableId="908343516">
    <w:abstractNumId w:val="3"/>
  </w:num>
  <w:num w:numId="8" w16cid:durableId="667753111">
    <w:abstractNumId w:val="3"/>
  </w:num>
  <w:num w:numId="9" w16cid:durableId="1933780122">
    <w:abstractNumId w:val="3"/>
  </w:num>
  <w:num w:numId="10" w16cid:durableId="1839728291">
    <w:abstractNumId w:val="3"/>
  </w:num>
  <w:num w:numId="11" w16cid:durableId="2129157136">
    <w:abstractNumId w:val="3"/>
  </w:num>
  <w:num w:numId="12" w16cid:durableId="1124084079">
    <w:abstractNumId w:val="3"/>
  </w:num>
  <w:num w:numId="13" w16cid:durableId="1732996701">
    <w:abstractNumId w:val="4"/>
  </w:num>
  <w:num w:numId="14" w16cid:durableId="1559828285">
    <w:abstractNumId w:val="2"/>
  </w:num>
  <w:num w:numId="15" w16cid:durableId="2138258421">
    <w:abstractNumId w:val="0"/>
  </w:num>
  <w:num w:numId="16" w16cid:durableId="62456333">
    <w:abstractNumId w:val="5"/>
  </w:num>
  <w:num w:numId="17" w16cid:durableId="1848983253">
    <w:abstractNumId w:val="1"/>
  </w:num>
  <w:num w:numId="18" w16cid:durableId="273557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17"/>
    <w:rsid w:val="00016508"/>
    <w:rsid w:val="00017910"/>
    <w:rsid w:val="000379F8"/>
    <w:rsid w:val="00046356"/>
    <w:rsid w:val="00053E3B"/>
    <w:rsid w:val="00066578"/>
    <w:rsid w:val="00067EF2"/>
    <w:rsid w:val="00073110"/>
    <w:rsid w:val="00075FE5"/>
    <w:rsid w:val="000868B1"/>
    <w:rsid w:val="000A3E67"/>
    <w:rsid w:val="000B49BB"/>
    <w:rsid w:val="000B7F0D"/>
    <w:rsid w:val="000C0685"/>
    <w:rsid w:val="000C072D"/>
    <w:rsid w:val="000D4456"/>
    <w:rsid w:val="000F6E44"/>
    <w:rsid w:val="00154D1C"/>
    <w:rsid w:val="001653A5"/>
    <w:rsid w:val="001831A8"/>
    <w:rsid w:val="00185C1F"/>
    <w:rsid w:val="00186090"/>
    <w:rsid w:val="00191460"/>
    <w:rsid w:val="001A766B"/>
    <w:rsid w:val="001C1AF6"/>
    <w:rsid w:val="001D33F3"/>
    <w:rsid w:val="001E3E38"/>
    <w:rsid w:val="001F4433"/>
    <w:rsid w:val="001F65F0"/>
    <w:rsid w:val="001F72B1"/>
    <w:rsid w:val="002106C4"/>
    <w:rsid w:val="00232F87"/>
    <w:rsid w:val="00234406"/>
    <w:rsid w:val="00263E3C"/>
    <w:rsid w:val="002A6D77"/>
    <w:rsid w:val="002B744F"/>
    <w:rsid w:val="002E22E9"/>
    <w:rsid w:val="002F05AA"/>
    <w:rsid w:val="00317389"/>
    <w:rsid w:val="00327084"/>
    <w:rsid w:val="00353E09"/>
    <w:rsid w:val="00360243"/>
    <w:rsid w:val="00360A3B"/>
    <w:rsid w:val="00371FAD"/>
    <w:rsid w:val="00395808"/>
    <w:rsid w:val="00397F70"/>
    <w:rsid w:val="003E168A"/>
    <w:rsid w:val="003E2715"/>
    <w:rsid w:val="003E67FB"/>
    <w:rsid w:val="003F118E"/>
    <w:rsid w:val="004145DD"/>
    <w:rsid w:val="00421BEE"/>
    <w:rsid w:val="00423C56"/>
    <w:rsid w:val="00444646"/>
    <w:rsid w:val="00467B9A"/>
    <w:rsid w:val="00474C87"/>
    <w:rsid w:val="004764A0"/>
    <w:rsid w:val="004772FD"/>
    <w:rsid w:val="00477EBB"/>
    <w:rsid w:val="004845F4"/>
    <w:rsid w:val="00486F65"/>
    <w:rsid w:val="00487661"/>
    <w:rsid w:val="00492A52"/>
    <w:rsid w:val="004A6FDA"/>
    <w:rsid w:val="004C7E1E"/>
    <w:rsid w:val="004E11B5"/>
    <w:rsid w:val="00515843"/>
    <w:rsid w:val="0054235C"/>
    <w:rsid w:val="00552933"/>
    <w:rsid w:val="00585C9A"/>
    <w:rsid w:val="00594ADF"/>
    <w:rsid w:val="005B002F"/>
    <w:rsid w:val="005B2D7F"/>
    <w:rsid w:val="005B3C95"/>
    <w:rsid w:val="005D2AF3"/>
    <w:rsid w:val="00601661"/>
    <w:rsid w:val="00607B05"/>
    <w:rsid w:val="00616D6F"/>
    <w:rsid w:val="00617FAC"/>
    <w:rsid w:val="00631E4D"/>
    <w:rsid w:val="006557F7"/>
    <w:rsid w:val="00656620"/>
    <w:rsid w:val="00662936"/>
    <w:rsid w:val="006769C5"/>
    <w:rsid w:val="006A0170"/>
    <w:rsid w:val="006A2215"/>
    <w:rsid w:val="006A3CB8"/>
    <w:rsid w:val="006C29A9"/>
    <w:rsid w:val="006C6F34"/>
    <w:rsid w:val="006D02E3"/>
    <w:rsid w:val="006F724C"/>
    <w:rsid w:val="007003D5"/>
    <w:rsid w:val="007007BB"/>
    <w:rsid w:val="00730437"/>
    <w:rsid w:val="00732BC5"/>
    <w:rsid w:val="00747F9E"/>
    <w:rsid w:val="007621F6"/>
    <w:rsid w:val="00762412"/>
    <w:rsid w:val="00763691"/>
    <w:rsid w:val="00771820"/>
    <w:rsid w:val="007741CA"/>
    <w:rsid w:val="007A01E3"/>
    <w:rsid w:val="007A78DF"/>
    <w:rsid w:val="007F0D31"/>
    <w:rsid w:val="0081419C"/>
    <w:rsid w:val="00824676"/>
    <w:rsid w:val="00830997"/>
    <w:rsid w:val="00830AFF"/>
    <w:rsid w:val="008310BC"/>
    <w:rsid w:val="00845264"/>
    <w:rsid w:val="00853D92"/>
    <w:rsid w:val="00866383"/>
    <w:rsid w:val="00883FDB"/>
    <w:rsid w:val="00884A11"/>
    <w:rsid w:val="00892D55"/>
    <w:rsid w:val="00894584"/>
    <w:rsid w:val="008A0945"/>
    <w:rsid w:val="008A0AE9"/>
    <w:rsid w:val="008A2D86"/>
    <w:rsid w:val="008C47B9"/>
    <w:rsid w:val="008C5F62"/>
    <w:rsid w:val="008C7C9C"/>
    <w:rsid w:val="008D08C2"/>
    <w:rsid w:val="008D204C"/>
    <w:rsid w:val="008D30C0"/>
    <w:rsid w:val="008D408A"/>
    <w:rsid w:val="008D6039"/>
    <w:rsid w:val="008E364E"/>
    <w:rsid w:val="00907742"/>
    <w:rsid w:val="00914058"/>
    <w:rsid w:val="00914E0E"/>
    <w:rsid w:val="009202A5"/>
    <w:rsid w:val="009250AE"/>
    <w:rsid w:val="00934E1E"/>
    <w:rsid w:val="009350D8"/>
    <w:rsid w:val="009372FD"/>
    <w:rsid w:val="00943551"/>
    <w:rsid w:val="00954BFE"/>
    <w:rsid w:val="00961499"/>
    <w:rsid w:val="00963136"/>
    <w:rsid w:val="00972FAC"/>
    <w:rsid w:val="009764CF"/>
    <w:rsid w:val="00983DEF"/>
    <w:rsid w:val="00986D46"/>
    <w:rsid w:val="009B4956"/>
    <w:rsid w:val="009C5196"/>
    <w:rsid w:val="009D1AE2"/>
    <w:rsid w:val="00A027DC"/>
    <w:rsid w:val="00A0381F"/>
    <w:rsid w:val="00A04BC4"/>
    <w:rsid w:val="00A15B0D"/>
    <w:rsid w:val="00A16228"/>
    <w:rsid w:val="00A40917"/>
    <w:rsid w:val="00A541D1"/>
    <w:rsid w:val="00A56CF5"/>
    <w:rsid w:val="00A64720"/>
    <w:rsid w:val="00A75850"/>
    <w:rsid w:val="00A76D80"/>
    <w:rsid w:val="00A824B5"/>
    <w:rsid w:val="00AA023A"/>
    <w:rsid w:val="00AB202E"/>
    <w:rsid w:val="00AB3466"/>
    <w:rsid w:val="00AC7FC0"/>
    <w:rsid w:val="00B27989"/>
    <w:rsid w:val="00B37E8B"/>
    <w:rsid w:val="00B57DD9"/>
    <w:rsid w:val="00B604C3"/>
    <w:rsid w:val="00B8116B"/>
    <w:rsid w:val="00B875E9"/>
    <w:rsid w:val="00BA015B"/>
    <w:rsid w:val="00BD57D9"/>
    <w:rsid w:val="00BE6A53"/>
    <w:rsid w:val="00C06017"/>
    <w:rsid w:val="00C10DB6"/>
    <w:rsid w:val="00C2207C"/>
    <w:rsid w:val="00C3186E"/>
    <w:rsid w:val="00C45909"/>
    <w:rsid w:val="00C46071"/>
    <w:rsid w:val="00C4667D"/>
    <w:rsid w:val="00C55FDA"/>
    <w:rsid w:val="00C84B66"/>
    <w:rsid w:val="00C96793"/>
    <w:rsid w:val="00CA5701"/>
    <w:rsid w:val="00CB2459"/>
    <w:rsid w:val="00CC4EAD"/>
    <w:rsid w:val="00CE0A0E"/>
    <w:rsid w:val="00CE0D1C"/>
    <w:rsid w:val="00CE59A9"/>
    <w:rsid w:val="00CE59FB"/>
    <w:rsid w:val="00CE5BA4"/>
    <w:rsid w:val="00CF17AF"/>
    <w:rsid w:val="00CF6AEB"/>
    <w:rsid w:val="00D16E1A"/>
    <w:rsid w:val="00D31817"/>
    <w:rsid w:val="00D5588D"/>
    <w:rsid w:val="00D65E68"/>
    <w:rsid w:val="00D66A24"/>
    <w:rsid w:val="00D72702"/>
    <w:rsid w:val="00D9134D"/>
    <w:rsid w:val="00D9767F"/>
    <w:rsid w:val="00DC0E20"/>
    <w:rsid w:val="00DC7AFD"/>
    <w:rsid w:val="00DE26A4"/>
    <w:rsid w:val="00DE7CD2"/>
    <w:rsid w:val="00E00351"/>
    <w:rsid w:val="00E02E0A"/>
    <w:rsid w:val="00E0758B"/>
    <w:rsid w:val="00E15FFF"/>
    <w:rsid w:val="00E235D3"/>
    <w:rsid w:val="00E35E70"/>
    <w:rsid w:val="00E41C2C"/>
    <w:rsid w:val="00E51B21"/>
    <w:rsid w:val="00E541C4"/>
    <w:rsid w:val="00E803B3"/>
    <w:rsid w:val="00ED56E2"/>
    <w:rsid w:val="00EE4979"/>
    <w:rsid w:val="00EE5624"/>
    <w:rsid w:val="00EF15A5"/>
    <w:rsid w:val="00F036F7"/>
    <w:rsid w:val="00F11F2A"/>
    <w:rsid w:val="00F15753"/>
    <w:rsid w:val="00F23CB2"/>
    <w:rsid w:val="00F248E8"/>
    <w:rsid w:val="00F2588B"/>
    <w:rsid w:val="00F5369F"/>
    <w:rsid w:val="00F703E5"/>
    <w:rsid w:val="00F85B49"/>
    <w:rsid w:val="00F92913"/>
    <w:rsid w:val="00FB51BC"/>
    <w:rsid w:val="00FC0678"/>
    <w:rsid w:val="00FC6938"/>
    <w:rsid w:val="00FE4F64"/>
    <w:rsid w:val="00FF32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1CBC4"/>
  <w15:chartTrackingRefBased/>
  <w15:docId w15:val="{A468CBC8-F560-460C-9F52-AD444A25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C5196"/>
    <w:pPr>
      <w:spacing w:after="0" w:line="360" w:lineRule="auto"/>
      <w:ind w:firstLine="340"/>
      <w:jc w:val="both"/>
    </w:pPr>
    <w:rPr>
      <w:rFonts w:ascii="Times New Roman" w:hAnsi="Times New Roman"/>
    </w:rPr>
  </w:style>
  <w:style w:type="paragraph" w:styleId="Cmsor1">
    <w:name w:val="heading 1"/>
    <w:basedOn w:val="Norml"/>
    <w:next w:val="Norml"/>
    <w:link w:val="Cmsor1Char"/>
    <w:uiPriority w:val="9"/>
    <w:qFormat/>
    <w:rsid w:val="007A78DF"/>
    <w:pPr>
      <w:keepNext/>
      <w:keepLines/>
      <w:spacing w:before="360" w:after="80"/>
      <w:outlineLvl w:val="0"/>
    </w:pPr>
    <w:rPr>
      <w:rFonts w:eastAsiaTheme="majorEastAsia" w:cstheme="majorBidi"/>
      <w:b/>
      <w:sz w:val="32"/>
      <w:szCs w:val="40"/>
    </w:rPr>
  </w:style>
  <w:style w:type="paragraph" w:styleId="Cmsor2">
    <w:name w:val="heading 2"/>
    <w:basedOn w:val="Norml"/>
    <w:next w:val="Norml"/>
    <w:link w:val="Cmsor2Char"/>
    <w:uiPriority w:val="9"/>
    <w:unhideWhenUsed/>
    <w:qFormat/>
    <w:rsid w:val="007A78DF"/>
    <w:pPr>
      <w:keepNext/>
      <w:keepLines/>
      <w:ind w:firstLine="0"/>
      <w:outlineLvl w:val="1"/>
    </w:pPr>
    <w:rPr>
      <w:rFonts w:eastAsiaTheme="majorEastAsia" w:cstheme="majorBidi"/>
      <w:b/>
      <w:sz w:val="28"/>
      <w:szCs w:val="32"/>
    </w:rPr>
  </w:style>
  <w:style w:type="paragraph" w:styleId="Cmsor3">
    <w:name w:val="heading 3"/>
    <w:basedOn w:val="Norml"/>
    <w:next w:val="Norml"/>
    <w:link w:val="Cmsor3Char"/>
    <w:uiPriority w:val="9"/>
    <w:semiHidden/>
    <w:unhideWhenUsed/>
    <w:qFormat/>
    <w:rsid w:val="00A409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A409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Cmsor5">
    <w:name w:val="heading 5"/>
    <w:basedOn w:val="Norml"/>
    <w:next w:val="Norml"/>
    <w:link w:val="Cmsor5Char"/>
    <w:uiPriority w:val="9"/>
    <w:semiHidden/>
    <w:unhideWhenUsed/>
    <w:qFormat/>
    <w:rsid w:val="00A40917"/>
    <w:pPr>
      <w:keepNext/>
      <w:keepLines/>
      <w:spacing w:before="80" w:after="40"/>
      <w:outlineLvl w:val="4"/>
    </w:pPr>
    <w:rPr>
      <w:rFonts w:asciiTheme="minorHAnsi" w:eastAsiaTheme="majorEastAsia" w:hAnsiTheme="minorHAnsi" w:cstheme="majorBidi"/>
      <w:color w:val="0F4761" w:themeColor="accent1" w:themeShade="BF"/>
    </w:rPr>
  </w:style>
  <w:style w:type="paragraph" w:styleId="Cmsor6">
    <w:name w:val="heading 6"/>
    <w:basedOn w:val="Norml"/>
    <w:next w:val="Norml"/>
    <w:link w:val="Cmsor6Char"/>
    <w:uiPriority w:val="9"/>
    <w:semiHidden/>
    <w:unhideWhenUsed/>
    <w:qFormat/>
    <w:rsid w:val="00A40917"/>
    <w:pPr>
      <w:keepNext/>
      <w:keepLines/>
      <w:spacing w:before="4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A40917"/>
    <w:pPr>
      <w:keepNext/>
      <w:keepLines/>
      <w:spacing w:before="4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A40917"/>
    <w:pPr>
      <w:keepNext/>
      <w:keepLines/>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A40917"/>
    <w:pPr>
      <w:keepNext/>
      <w:keepLines/>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A78DF"/>
    <w:rPr>
      <w:rFonts w:ascii="Times New Roman" w:eastAsiaTheme="majorEastAsia" w:hAnsi="Times New Roman" w:cstheme="majorBidi"/>
      <w:b/>
      <w:sz w:val="32"/>
      <w:szCs w:val="40"/>
    </w:rPr>
  </w:style>
  <w:style w:type="character" w:customStyle="1" w:styleId="Cmsor2Char">
    <w:name w:val="Címsor 2 Char"/>
    <w:basedOn w:val="Bekezdsalapbettpusa"/>
    <w:link w:val="Cmsor2"/>
    <w:uiPriority w:val="9"/>
    <w:rsid w:val="007A78DF"/>
    <w:rPr>
      <w:rFonts w:ascii="Times New Roman" w:eastAsiaTheme="majorEastAsia" w:hAnsi="Times New Roman" w:cstheme="majorBidi"/>
      <w:b/>
      <w:sz w:val="28"/>
      <w:szCs w:val="32"/>
    </w:rPr>
  </w:style>
  <w:style w:type="paragraph" w:customStyle="1" w:styleId="EconomicaTitle1">
    <w:name w:val="Economica_Title1"/>
    <w:basedOn w:val="Norml"/>
    <w:next w:val="Norml"/>
    <w:autoRedefine/>
    <w:qFormat/>
    <w:rsid w:val="00E15FFF"/>
    <w:pPr>
      <w:keepNext/>
      <w:tabs>
        <w:tab w:val="left" w:pos="340"/>
      </w:tabs>
      <w:spacing w:before="240" w:line="240" w:lineRule="auto"/>
      <w:ind w:firstLine="0"/>
      <w:jc w:val="center"/>
      <w:outlineLvl w:val="0"/>
    </w:pPr>
    <w:rPr>
      <w:rFonts w:cs="Times New Roman"/>
      <w:b/>
      <w:kern w:val="0"/>
      <w:sz w:val="32"/>
      <w:szCs w:val="32"/>
      <w:lang w:val="en-US"/>
      <w14:ligatures w14:val="none"/>
    </w:rPr>
  </w:style>
  <w:style w:type="paragraph" w:customStyle="1" w:styleId="EconomicaTitle2">
    <w:name w:val="Economica_Title2"/>
    <w:basedOn w:val="Norml"/>
    <w:next w:val="Norml"/>
    <w:autoRedefine/>
    <w:qFormat/>
    <w:rsid w:val="00D72702"/>
    <w:pPr>
      <w:keepNext/>
      <w:spacing w:before="180" w:line="240" w:lineRule="auto"/>
      <w:ind w:firstLine="0"/>
      <w:jc w:val="left"/>
      <w:outlineLvl w:val="1"/>
    </w:pPr>
    <w:rPr>
      <w:rFonts w:ascii="Georgia" w:hAnsi="Georgia"/>
      <w:b/>
      <w:kern w:val="0"/>
      <w:sz w:val="22"/>
      <w:szCs w:val="22"/>
      <w:lang w:val="en-US"/>
      <w14:ligatures w14:val="none"/>
    </w:rPr>
  </w:style>
  <w:style w:type="paragraph" w:customStyle="1" w:styleId="EconomicaTitle3">
    <w:name w:val="Economica_Title3"/>
    <w:basedOn w:val="Norml"/>
    <w:next w:val="Norml"/>
    <w:autoRedefine/>
    <w:qFormat/>
    <w:rsid w:val="00D72702"/>
    <w:pPr>
      <w:spacing w:before="120" w:line="240" w:lineRule="auto"/>
      <w:ind w:firstLine="0"/>
      <w:jc w:val="left"/>
    </w:pPr>
    <w:rPr>
      <w:rFonts w:ascii="Georgia" w:hAnsi="Georgia"/>
      <w:b/>
      <w:i/>
      <w:kern w:val="0"/>
      <w:sz w:val="22"/>
      <w:szCs w:val="22"/>
      <w:lang w:val="en-US"/>
      <w14:ligatures w14:val="none"/>
    </w:rPr>
  </w:style>
  <w:style w:type="paragraph" w:customStyle="1" w:styleId="fejezet1">
    <w:name w:val="fejezet 1"/>
    <w:basedOn w:val="Norml"/>
    <w:next w:val="Norml"/>
    <w:autoRedefine/>
    <w:qFormat/>
    <w:rsid w:val="003E67FB"/>
    <w:pPr>
      <w:keepNext/>
      <w:numPr>
        <w:numId w:val="12"/>
      </w:numPr>
      <w:tabs>
        <w:tab w:val="left" w:pos="340"/>
      </w:tabs>
      <w:spacing w:before="120" w:after="120" w:line="240" w:lineRule="auto"/>
      <w:ind w:left="357" w:hanging="357"/>
      <w:jc w:val="left"/>
      <w:outlineLvl w:val="0"/>
    </w:pPr>
    <w:rPr>
      <w:b/>
      <w:kern w:val="0"/>
      <w:sz w:val="28"/>
      <w:szCs w:val="22"/>
      <w:lang w:val="en-US"/>
      <w14:ligatures w14:val="none"/>
    </w:rPr>
  </w:style>
  <w:style w:type="paragraph" w:customStyle="1" w:styleId="fejezet2">
    <w:name w:val="fejezet 2"/>
    <w:basedOn w:val="Norml"/>
    <w:next w:val="Norml"/>
    <w:autoRedefine/>
    <w:qFormat/>
    <w:rsid w:val="00327084"/>
    <w:pPr>
      <w:keepNext/>
      <w:numPr>
        <w:ilvl w:val="1"/>
        <w:numId w:val="12"/>
      </w:numPr>
      <w:ind w:left="431" w:hanging="431"/>
      <w:jc w:val="left"/>
      <w:outlineLvl w:val="1"/>
    </w:pPr>
    <w:rPr>
      <w:rFonts w:cs="Times New Roman"/>
      <w:b/>
      <w:kern w:val="0"/>
      <w:szCs w:val="22"/>
      <w14:ligatures w14:val="none"/>
    </w:rPr>
  </w:style>
  <w:style w:type="paragraph" w:customStyle="1" w:styleId="fejezet3">
    <w:name w:val="fejezet 3"/>
    <w:basedOn w:val="Norml"/>
    <w:next w:val="Norml"/>
    <w:autoRedefine/>
    <w:qFormat/>
    <w:rsid w:val="00515843"/>
    <w:pPr>
      <w:numPr>
        <w:ilvl w:val="2"/>
        <w:numId w:val="12"/>
      </w:numPr>
      <w:jc w:val="left"/>
    </w:pPr>
    <w:rPr>
      <w:b/>
      <w:kern w:val="0"/>
      <w:sz w:val="28"/>
      <w:szCs w:val="22"/>
      <w:lang w:val="en-US"/>
      <w14:ligatures w14:val="none"/>
    </w:rPr>
  </w:style>
  <w:style w:type="character" w:customStyle="1" w:styleId="Cmsor3Char">
    <w:name w:val="Címsor 3 Char"/>
    <w:basedOn w:val="Bekezdsalapbettpusa"/>
    <w:link w:val="Cmsor3"/>
    <w:uiPriority w:val="9"/>
    <w:semiHidden/>
    <w:rsid w:val="00A4091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A4091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A4091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A4091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4091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4091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40917"/>
    <w:rPr>
      <w:rFonts w:eastAsiaTheme="majorEastAsia" w:cstheme="majorBidi"/>
      <w:color w:val="272727" w:themeColor="text1" w:themeTint="D8"/>
    </w:rPr>
  </w:style>
  <w:style w:type="paragraph" w:styleId="Cm">
    <w:name w:val="Title"/>
    <w:basedOn w:val="Norml"/>
    <w:next w:val="Norml"/>
    <w:link w:val="CmChar"/>
    <w:uiPriority w:val="10"/>
    <w:qFormat/>
    <w:rsid w:val="00A40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4091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40917"/>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A4091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40917"/>
    <w:pPr>
      <w:spacing w:before="160"/>
      <w:jc w:val="center"/>
    </w:pPr>
    <w:rPr>
      <w:i/>
      <w:iCs/>
      <w:color w:val="404040" w:themeColor="text1" w:themeTint="BF"/>
    </w:rPr>
  </w:style>
  <w:style w:type="character" w:customStyle="1" w:styleId="IdzetChar">
    <w:name w:val="Idézet Char"/>
    <w:basedOn w:val="Bekezdsalapbettpusa"/>
    <w:link w:val="Idzet"/>
    <w:uiPriority w:val="29"/>
    <w:rsid w:val="00A40917"/>
    <w:rPr>
      <w:rFonts w:ascii="Times New Roman" w:hAnsi="Times New Roman"/>
      <w:i/>
      <w:iCs/>
      <w:color w:val="404040" w:themeColor="text1" w:themeTint="BF"/>
    </w:rPr>
  </w:style>
  <w:style w:type="paragraph" w:styleId="Listaszerbekezds">
    <w:name w:val="List Paragraph"/>
    <w:basedOn w:val="Norml"/>
    <w:uiPriority w:val="34"/>
    <w:qFormat/>
    <w:rsid w:val="00A40917"/>
    <w:pPr>
      <w:ind w:left="720"/>
      <w:contextualSpacing/>
    </w:pPr>
  </w:style>
  <w:style w:type="character" w:styleId="Erskiemels">
    <w:name w:val="Intense Emphasis"/>
    <w:basedOn w:val="Bekezdsalapbettpusa"/>
    <w:uiPriority w:val="21"/>
    <w:qFormat/>
    <w:rsid w:val="00A40917"/>
    <w:rPr>
      <w:i/>
      <w:iCs/>
      <w:color w:val="0F4761" w:themeColor="accent1" w:themeShade="BF"/>
    </w:rPr>
  </w:style>
  <w:style w:type="paragraph" w:styleId="Kiemeltidzet">
    <w:name w:val="Intense Quote"/>
    <w:basedOn w:val="Norml"/>
    <w:next w:val="Norml"/>
    <w:link w:val="KiemeltidzetChar"/>
    <w:uiPriority w:val="30"/>
    <w:qFormat/>
    <w:rsid w:val="00A40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A40917"/>
    <w:rPr>
      <w:rFonts w:ascii="Times New Roman" w:hAnsi="Times New Roman"/>
      <w:i/>
      <w:iCs/>
      <w:color w:val="0F4761" w:themeColor="accent1" w:themeShade="BF"/>
    </w:rPr>
  </w:style>
  <w:style w:type="character" w:styleId="Ershivatkozs">
    <w:name w:val="Intense Reference"/>
    <w:basedOn w:val="Bekezdsalapbettpusa"/>
    <w:uiPriority w:val="32"/>
    <w:qFormat/>
    <w:rsid w:val="00A40917"/>
    <w:rPr>
      <w:b/>
      <w:bCs/>
      <w:smallCaps/>
      <w:color w:val="0F4761" w:themeColor="accent1" w:themeShade="BF"/>
      <w:spacing w:val="5"/>
    </w:rPr>
  </w:style>
  <w:style w:type="character" w:styleId="Hiperhivatkozs">
    <w:name w:val="Hyperlink"/>
    <w:basedOn w:val="Bekezdsalapbettpusa"/>
    <w:uiPriority w:val="99"/>
    <w:unhideWhenUsed/>
    <w:rsid w:val="00A40917"/>
    <w:rPr>
      <w:color w:val="467886" w:themeColor="hyperlink"/>
      <w:u w:val="single"/>
    </w:rPr>
  </w:style>
  <w:style w:type="character" w:styleId="Feloldatlanmegemlts">
    <w:name w:val="Unresolved Mention"/>
    <w:basedOn w:val="Bekezdsalapbettpusa"/>
    <w:uiPriority w:val="99"/>
    <w:semiHidden/>
    <w:unhideWhenUsed/>
    <w:rsid w:val="00A40917"/>
    <w:rPr>
      <w:color w:val="605E5C"/>
      <w:shd w:val="clear" w:color="auto" w:fill="E1DFDD"/>
    </w:rPr>
  </w:style>
  <w:style w:type="paragraph" w:styleId="TJ1">
    <w:name w:val="toc 1"/>
    <w:basedOn w:val="Norml"/>
    <w:next w:val="Norml"/>
    <w:autoRedefine/>
    <w:uiPriority w:val="39"/>
    <w:unhideWhenUsed/>
    <w:rsid w:val="001F65F0"/>
    <w:pPr>
      <w:spacing w:before="120"/>
      <w:jc w:val="left"/>
    </w:pPr>
    <w:rPr>
      <w:rFonts w:asciiTheme="minorHAnsi" w:hAnsiTheme="minorHAnsi"/>
      <w:b/>
      <w:bCs/>
      <w:caps/>
      <w:sz w:val="20"/>
      <w:szCs w:val="20"/>
    </w:rPr>
  </w:style>
  <w:style w:type="paragraph" w:styleId="TJ2">
    <w:name w:val="toc 2"/>
    <w:basedOn w:val="Norml"/>
    <w:next w:val="Norml"/>
    <w:autoRedefine/>
    <w:uiPriority w:val="39"/>
    <w:unhideWhenUsed/>
    <w:rsid w:val="001F65F0"/>
    <w:pPr>
      <w:ind w:left="240"/>
      <w:jc w:val="left"/>
    </w:pPr>
    <w:rPr>
      <w:rFonts w:asciiTheme="minorHAnsi" w:hAnsiTheme="minorHAnsi"/>
      <w:smallCaps/>
      <w:sz w:val="20"/>
      <w:szCs w:val="20"/>
    </w:rPr>
  </w:style>
  <w:style w:type="paragraph" w:styleId="TJ3">
    <w:name w:val="toc 3"/>
    <w:basedOn w:val="Norml"/>
    <w:next w:val="Norml"/>
    <w:autoRedefine/>
    <w:uiPriority w:val="39"/>
    <w:unhideWhenUsed/>
    <w:rsid w:val="001F65F0"/>
    <w:pPr>
      <w:ind w:left="480"/>
      <w:jc w:val="left"/>
    </w:pPr>
    <w:rPr>
      <w:rFonts w:asciiTheme="minorHAnsi" w:hAnsiTheme="minorHAnsi"/>
      <w:i/>
      <w:iCs/>
      <w:sz w:val="20"/>
      <w:szCs w:val="20"/>
    </w:rPr>
  </w:style>
  <w:style w:type="paragraph" w:styleId="TJ4">
    <w:name w:val="toc 4"/>
    <w:basedOn w:val="Norml"/>
    <w:next w:val="Norml"/>
    <w:autoRedefine/>
    <w:uiPriority w:val="39"/>
    <w:unhideWhenUsed/>
    <w:rsid w:val="001F65F0"/>
    <w:pPr>
      <w:ind w:left="720"/>
      <w:jc w:val="left"/>
    </w:pPr>
    <w:rPr>
      <w:rFonts w:asciiTheme="minorHAnsi" w:hAnsiTheme="minorHAnsi"/>
      <w:sz w:val="18"/>
      <w:szCs w:val="18"/>
    </w:rPr>
  </w:style>
  <w:style w:type="paragraph" w:styleId="TJ5">
    <w:name w:val="toc 5"/>
    <w:basedOn w:val="Norml"/>
    <w:next w:val="Norml"/>
    <w:autoRedefine/>
    <w:uiPriority w:val="39"/>
    <w:unhideWhenUsed/>
    <w:rsid w:val="001F65F0"/>
    <w:pPr>
      <w:ind w:left="960"/>
      <w:jc w:val="left"/>
    </w:pPr>
    <w:rPr>
      <w:rFonts w:asciiTheme="minorHAnsi" w:hAnsiTheme="minorHAnsi"/>
      <w:sz w:val="18"/>
      <w:szCs w:val="18"/>
    </w:rPr>
  </w:style>
  <w:style w:type="paragraph" w:styleId="TJ6">
    <w:name w:val="toc 6"/>
    <w:basedOn w:val="Norml"/>
    <w:next w:val="Norml"/>
    <w:autoRedefine/>
    <w:uiPriority w:val="39"/>
    <w:unhideWhenUsed/>
    <w:rsid w:val="001F65F0"/>
    <w:pPr>
      <w:ind w:left="1200"/>
      <w:jc w:val="left"/>
    </w:pPr>
    <w:rPr>
      <w:rFonts w:asciiTheme="minorHAnsi" w:hAnsiTheme="minorHAnsi"/>
      <w:sz w:val="18"/>
      <w:szCs w:val="18"/>
    </w:rPr>
  </w:style>
  <w:style w:type="paragraph" w:styleId="TJ7">
    <w:name w:val="toc 7"/>
    <w:basedOn w:val="Norml"/>
    <w:next w:val="Norml"/>
    <w:autoRedefine/>
    <w:uiPriority w:val="39"/>
    <w:unhideWhenUsed/>
    <w:rsid w:val="001F65F0"/>
    <w:pPr>
      <w:ind w:left="1440"/>
      <w:jc w:val="left"/>
    </w:pPr>
    <w:rPr>
      <w:rFonts w:asciiTheme="minorHAnsi" w:hAnsiTheme="minorHAnsi"/>
      <w:sz w:val="18"/>
      <w:szCs w:val="18"/>
    </w:rPr>
  </w:style>
  <w:style w:type="paragraph" w:styleId="TJ8">
    <w:name w:val="toc 8"/>
    <w:basedOn w:val="Norml"/>
    <w:next w:val="Norml"/>
    <w:autoRedefine/>
    <w:uiPriority w:val="39"/>
    <w:unhideWhenUsed/>
    <w:rsid w:val="001F65F0"/>
    <w:pPr>
      <w:ind w:left="1680"/>
      <w:jc w:val="left"/>
    </w:pPr>
    <w:rPr>
      <w:rFonts w:asciiTheme="minorHAnsi" w:hAnsiTheme="minorHAnsi"/>
      <w:sz w:val="18"/>
      <w:szCs w:val="18"/>
    </w:rPr>
  </w:style>
  <w:style w:type="paragraph" w:styleId="TJ9">
    <w:name w:val="toc 9"/>
    <w:basedOn w:val="Norml"/>
    <w:next w:val="Norml"/>
    <w:autoRedefine/>
    <w:uiPriority w:val="39"/>
    <w:unhideWhenUsed/>
    <w:rsid w:val="001F65F0"/>
    <w:pPr>
      <w:ind w:left="1920"/>
      <w:jc w:val="left"/>
    </w:pPr>
    <w:rPr>
      <w:rFonts w:asciiTheme="minorHAnsi" w:hAnsiTheme="minorHAnsi"/>
      <w:sz w:val="18"/>
      <w:szCs w:val="18"/>
    </w:rPr>
  </w:style>
  <w:style w:type="character" w:styleId="Mrltotthiperhivatkozs">
    <w:name w:val="FollowedHyperlink"/>
    <w:basedOn w:val="Bekezdsalapbettpusa"/>
    <w:uiPriority w:val="99"/>
    <w:semiHidden/>
    <w:unhideWhenUsed/>
    <w:rsid w:val="00A64720"/>
    <w:rPr>
      <w:color w:val="96607D" w:themeColor="followedHyperlink"/>
      <w:u w:val="single"/>
    </w:rPr>
  </w:style>
  <w:style w:type="paragraph" w:styleId="lfej">
    <w:name w:val="header"/>
    <w:basedOn w:val="Norml"/>
    <w:link w:val="lfejChar"/>
    <w:uiPriority w:val="99"/>
    <w:unhideWhenUsed/>
    <w:rsid w:val="00360A3B"/>
    <w:pPr>
      <w:tabs>
        <w:tab w:val="center" w:pos="4513"/>
        <w:tab w:val="right" w:pos="9026"/>
      </w:tabs>
      <w:spacing w:line="240" w:lineRule="auto"/>
    </w:pPr>
  </w:style>
  <w:style w:type="character" w:customStyle="1" w:styleId="lfejChar">
    <w:name w:val="Élőfej Char"/>
    <w:basedOn w:val="Bekezdsalapbettpusa"/>
    <w:link w:val="lfej"/>
    <w:uiPriority w:val="99"/>
    <w:rsid w:val="00360A3B"/>
    <w:rPr>
      <w:rFonts w:ascii="Times New Roman" w:hAnsi="Times New Roman"/>
    </w:rPr>
  </w:style>
  <w:style w:type="paragraph" w:styleId="llb">
    <w:name w:val="footer"/>
    <w:basedOn w:val="Norml"/>
    <w:link w:val="llbChar"/>
    <w:uiPriority w:val="99"/>
    <w:unhideWhenUsed/>
    <w:rsid w:val="00360A3B"/>
    <w:pPr>
      <w:tabs>
        <w:tab w:val="center" w:pos="4513"/>
        <w:tab w:val="right" w:pos="9026"/>
      </w:tabs>
      <w:spacing w:line="240" w:lineRule="auto"/>
    </w:pPr>
  </w:style>
  <w:style w:type="character" w:customStyle="1" w:styleId="llbChar">
    <w:name w:val="Élőláb Char"/>
    <w:basedOn w:val="Bekezdsalapbettpusa"/>
    <w:link w:val="llb"/>
    <w:uiPriority w:val="99"/>
    <w:rsid w:val="00360A3B"/>
    <w:rPr>
      <w:rFonts w:ascii="Times New Roman" w:hAnsi="Times New Roman"/>
    </w:rPr>
  </w:style>
  <w:style w:type="paragraph" w:styleId="Kpalrs">
    <w:name w:val="caption"/>
    <w:basedOn w:val="Norml"/>
    <w:next w:val="Norml"/>
    <w:uiPriority w:val="35"/>
    <w:unhideWhenUsed/>
    <w:qFormat/>
    <w:rsid w:val="003E67FB"/>
    <w:pPr>
      <w:spacing w:after="200" w:line="240" w:lineRule="auto"/>
    </w:pPr>
    <w:rPr>
      <w:i/>
      <w:iCs/>
      <w:color w:val="0E2841" w:themeColor="text2"/>
      <w:sz w:val="18"/>
      <w:szCs w:val="18"/>
    </w:rPr>
  </w:style>
  <w:style w:type="paragraph" w:styleId="brajegyzk">
    <w:name w:val="table of figures"/>
    <w:basedOn w:val="Norml"/>
    <w:next w:val="Norml"/>
    <w:uiPriority w:val="99"/>
    <w:unhideWhenUsed/>
    <w:rsid w:val="00617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artbookofeconomicinequality.com/" TargetMode="External"/><Relationship Id="rId18" Type="http://schemas.openxmlformats.org/officeDocument/2006/relationships/hyperlink" Target="https://www.ecb.europa.eu/pub/pdf/sintra/ecb.forumcentbankpub2025_Benassy-Quere_paper.en.pdf" TargetMode="External"/><Relationship Id="rId26" Type="http://schemas.openxmlformats.org/officeDocument/2006/relationships/hyperlink" Target="https://www.europarl.europa.eu/RegData/etudes/IDAN/2022/733996/IPOL_IDA(2022)733996_EN.pdf" TargetMode="External"/><Relationship Id="rId39" Type="http://schemas.openxmlformats.org/officeDocument/2006/relationships/fontTable" Target="fontTable.xml"/><Relationship Id="rId21" Type="http://schemas.openxmlformats.org/officeDocument/2006/relationships/hyperlink" Target="https://doi.org/10.1017/CBO9780511997716" TargetMode="External"/><Relationship Id="rId34" Type="http://schemas.openxmlformats.org/officeDocument/2006/relationships/hyperlink" Target="https://doi.org/10.1515/9781400833276" TargetMode="External"/><Relationship Id="rId7" Type="http://schemas.openxmlformats.org/officeDocument/2006/relationships/endnotes" Target="endnotes.xml"/><Relationship Id="rId12" Type="http://schemas.openxmlformats.org/officeDocument/2006/relationships/hyperlink" Target="https://doi.org/10.1038/s42254-020-00273-3" TargetMode="External"/><Relationship Id="rId17" Type="http://schemas.openxmlformats.org/officeDocument/2006/relationships/hyperlink" Target="https://arxiv.org/abs/2406.00862" TargetMode="External"/><Relationship Id="rId25" Type="http://schemas.openxmlformats.org/officeDocument/2006/relationships/hyperlink" Target="https://www.ecb.europa.eu/stats/macroeconomic_and_sectoral/hicp/html/index.en.html" TargetMode="External"/><Relationship Id="rId33" Type="http://schemas.openxmlformats.org/officeDocument/2006/relationships/hyperlink" Target="https://www.qm-ware.com/use-cases/automotive-meets-quantum/"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86/261816" TargetMode="External"/><Relationship Id="rId20" Type="http://schemas.openxmlformats.org/officeDocument/2006/relationships/hyperlink" Target="https://www.bundesbank.de/resource/blob/916768/2a6826a2c846af281357d00c3fbbe5df/mL/2023-09-geldpolitik-data.pdf" TargetMode="External"/><Relationship Id="rId29" Type="http://schemas.openxmlformats.org/officeDocument/2006/relationships/hyperlink" Target="https://doi.org/10.1016/j.physd.2011.02.0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26/science.284.5411.107" TargetMode="External"/><Relationship Id="rId24" Type="http://schemas.openxmlformats.org/officeDocument/2006/relationships/hyperlink" Target="https://www.ecb.europa.eu/press/economic-bulletin/html/eb202408.en.html" TargetMode="External"/><Relationship Id="rId32" Type="http://schemas.openxmlformats.org/officeDocument/2006/relationships/hyperlink" Target="https://doi.org/10.1177/29767032241237547" TargetMode="External"/><Relationship Id="rId37" Type="http://schemas.openxmlformats.org/officeDocument/2006/relationships/hyperlink" Target="https://miau.my-x.hu/miau/311/KAYSER%C4%B0%20KONGRE%20K%C4%B0TABI%20SON.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307/2534639" TargetMode="External"/><Relationship Id="rId23" Type="http://schemas.openxmlformats.org/officeDocument/2006/relationships/hyperlink" Target="https://www.ecb.europa.eu/mopo/strategy/ecb.mopo_strategy_statement.en.html" TargetMode="External"/><Relationship Id="rId28" Type="http://schemas.openxmlformats.org/officeDocument/2006/relationships/hyperlink" Target="https://www.imf.org/-/media/Files/Publications/WP/2023/English/wpiea2023030-print-pdf.ashx" TargetMode="External"/><Relationship Id="rId36" Type="http://schemas.openxmlformats.org/officeDocument/2006/relationships/hyperlink" Target="https://www.suerf.org/publications/suerf-policy-notes-and-briefs/beyond-averages-heterogeneous-effects-of-monetary-policy-in-the-euro-area/" TargetMode="External"/><Relationship Id="rId10" Type="http://schemas.openxmlformats.org/officeDocument/2006/relationships/hyperlink" Target="https://www.ecb.europa.eu/pub/pdf/scpwps/ecb.wp2170.en.pdf" TargetMode="External"/><Relationship Id="rId19" Type="http://schemas.openxmlformats.org/officeDocument/2006/relationships/hyperlink" Target="https://doi.org/10.1038/nature23474" TargetMode="External"/><Relationship Id="rId31" Type="http://schemas.openxmlformats.org/officeDocument/2006/relationships/hyperlink" Target="http://www.worldeconomicsassociation.org/files/journals/economicthought/WEA-ET-7-2-Orrell.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tony-atkinson.com/researchpapers/Atkinson_and_Morelli_-_Inequality_and_Banking_Crises_-_A_First_Look.pdf" TargetMode="External"/><Relationship Id="rId22" Type="http://schemas.openxmlformats.org/officeDocument/2006/relationships/hyperlink" Target="https://doi.org/10.1073/pnas.1608242113" TargetMode="External"/><Relationship Id="rId27" Type="http://schemas.openxmlformats.org/officeDocument/2006/relationships/hyperlink" Target="https://doi.org/10.1002/cplx.20261" TargetMode="External"/><Relationship Id="rId30" Type="http://schemas.openxmlformats.org/officeDocument/2006/relationships/hyperlink" Target="https://www.econstor.eu/bitstream/10419/169223/1/663.pdf" TargetMode="External"/><Relationship Id="rId35" Type="http://schemas.openxmlformats.org/officeDocument/2006/relationships/hyperlink" Target="https://doi.org/10.1038/nature08227" TargetMode="Externa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andi\AppData\Local\Temp\b326a283-ce42-41c0-9cd1-1f1435d82362_EU%20homogenit&#225;s.zip.EU%20homogenit&#225;s.zip\OAM%20homogeneit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lineChart>
        <c:grouping val="standard"/>
        <c:varyColors val="0"/>
        <c:ser>
          <c:idx val="0"/>
          <c:order val="0"/>
          <c:tx>
            <c:strRef>
              <c:f>'Éves homogenitás'!$A$29</c:f>
              <c:strCache>
                <c:ptCount val="1"/>
                <c:pt idx="0">
                  <c:v>Éves homogenitás index átlaga</c:v>
                </c:pt>
              </c:strCache>
            </c:strRef>
          </c:tx>
          <c:spPr>
            <a:ln w="101600" cap="rnd">
              <a:gradFill>
                <a:gsLst>
                  <a:gs pos="0">
                    <a:srgbClr val="FF0000"/>
                  </a:gs>
                  <a:gs pos="51000">
                    <a:srgbClr val="FFFF00"/>
                  </a:gs>
                  <a:gs pos="100000">
                    <a:srgbClr val="00B050"/>
                  </a:gs>
                </a:gsLst>
                <a:lin ang="5400000" scaled="1"/>
              </a:gradFill>
              <a:round/>
            </a:ln>
            <a:effectLst/>
          </c:spPr>
          <c:marker>
            <c:symbol val="none"/>
          </c:marker>
          <c:cat>
            <c:numRef>
              <c:f>'Éves homogenitás'!$B$28:$AB$28</c:f>
              <c:numCache>
                <c:formatCode>General</c:formatCode>
                <c:ptCount val="2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numCache>
            </c:numRef>
          </c:cat>
          <c:val>
            <c:numRef>
              <c:f>'Éves homogenitás'!$B$29:$AB$29</c:f>
              <c:numCache>
                <c:formatCode>General</c:formatCode>
                <c:ptCount val="27"/>
                <c:pt idx="0">
                  <c:v>41.418181818181836</c:v>
                </c:pt>
                <c:pt idx="1">
                  <c:v>29.963636363636375</c:v>
                </c:pt>
                <c:pt idx="2">
                  <c:v>30.804545454545465</c:v>
                </c:pt>
                <c:pt idx="3">
                  <c:v>26.304545454545462</c:v>
                </c:pt>
                <c:pt idx="4">
                  <c:v>33.690909090909095</c:v>
                </c:pt>
                <c:pt idx="5">
                  <c:v>34.463636363636368</c:v>
                </c:pt>
                <c:pt idx="6">
                  <c:v>32.190909090909095</c:v>
                </c:pt>
                <c:pt idx="7">
                  <c:v>31.759090909090915</c:v>
                </c:pt>
                <c:pt idx="8">
                  <c:v>14.145454545454548</c:v>
                </c:pt>
                <c:pt idx="9">
                  <c:v>9.6227272727272677</c:v>
                </c:pt>
                <c:pt idx="10">
                  <c:v>3.8499999999999956</c:v>
                </c:pt>
                <c:pt idx="11">
                  <c:v>-0.67272727272727806</c:v>
                </c:pt>
                <c:pt idx="12">
                  <c:v>-8.1045454545454589</c:v>
                </c:pt>
                <c:pt idx="13">
                  <c:v>-21.399999999999991</c:v>
                </c:pt>
                <c:pt idx="14">
                  <c:v>-6.6045454545454598</c:v>
                </c:pt>
                <c:pt idx="15">
                  <c:v>-7.0818181818181865</c:v>
                </c:pt>
                <c:pt idx="16">
                  <c:v>-6.9681818181818223</c:v>
                </c:pt>
                <c:pt idx="17">
                  <c:v>-5.7181818181818223</c:v>
                </c:pt>
                <c:pt idx="18">
                  <c:v>-7.1272727272727314</c:v>
                </c:pt>
                <c:pt idx="19">
                  <c:v>-16.331818181818186</c:v>
                </c:pt>
                <c:pt idx="20">
                  <c:v>-23.036363636363628</c:v>
                </c:pt>
                <c:pt idx="21">
                  <c:v>-28.831818181818168</c:v>
                </c:pt>
                <c:pt idx="22">
                  <c:v>-29.377272727272711</c:v>
                </c:pt>
                <c:pt idx="23">
                  <c:v>-33.195454545454531</c:v>
                </c:pt>
                <c:pt idx="24">
                  <c:v>-40.218181818181797</c:v>
                </c:pt>
                <c:pt idx="25">
                  <c:v>-41.786363636363618</c:v>
                </c:pt>
                <c:pt idx="26">
                  <c:v>-12.195454545454544</c:v>
                </c:pt>
              </c:numCache>
            </c:numRef>
          </c:val>
          <c:smooth val="0"/>
          <c:extLst>
            <c:ext xmlns:c16="http://schemas.microsoft.com/office/drawing/2014/chart" uri="{C3380CC4-5D6E-409C-BE32-E72D297353CC}">
              <c16:uniqueId val="{00000000-07FB-4737-AAAE-C9BDF900332B}"/>
            </c:ext>
          </c:extLst>
        </c:ser>
        <c:dLbls>
          <c:showLegendKey val="0"/>
          <c:showVal val="0"/>
          <c:showCatName val="0"/>
          <c:showSerName val="0"/>
          <c:showPercent val="0"/>
          <c:showBubbleSize val="0"/>
        </c:dLbls>
        <c:smooth val="0"/>
        <c:axId val="1188361071"/>
        <c:axId val="951674879"/>
      </c:lineChart>
      <c:catAx>
        <c:axId val="1188361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951674879"/>
        <c:crosses val="autoZero"/>
        <c:auto val="1"/>
        <c:lblAlgn val="ctr"/>
        <c:lblOffset val="100"/>
        <c:noMultiLvlLbl val="0"/>
      </c:catAx>
      <c:valAx>
        <c:axId val="951674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1883610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ZT — Név szerinti rendezés" Version="2003"/>
</file>

<file path=customXml/itemProps1.xml><?xml version="1.0" encoding="utf-8"?>
<ds:datastoreItem xmlns:ds="http://schemas.openxmlformats.org/officeDocument/2006/customXml" ds:itemID="{42197C33-E717-4AD9-BF83-309307B7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6054</Words>
  <Characters>41773</Characters>
  <Application>Microsoft Office Word</Application>
  <DocSecurity>0</DocSecurity>
  <Lines>348</Lines>
  <Paragraphs>95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Varadi Daniel</dc:creator>
  <cp:keywords/>
  <dc:description/>
  <cp:lastModifiedBy>Varadi Daniel</cp:lastModifiedBy>
  <cp:revision>44</cp:revision>
  <dcterms:created xsi:type="dcterms:W3CDTF">2025-10-19T10:57:00Z</dcterms:created>
  <dcterms:modified xsi:type="dcterms:W3CDTF">2025-11-05T10:40:00Z</dcterms:modified>
</cp:coreProperties>
</file>