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2577" w14:textId="77777777" w:rsidR="00732BC5" w:rsidRPr="003E168A" w:rsidRDefault="00732BC5" w:rsidP="00732BC5">
      <w:pPr>
        <w:ind w:firstLine="0"/>
        <w:jc w:val="center"/>
        <w:rPr>
          <w:b/>
          <w:bCs/>
          <w:sz w:val="44"/>
          <w:szCs w:val="44"/>
        </w:rPr>
      </w:pPr>
    </w:p>
    <w:p w14:paraId="34F30FB5" w14:textId="77777777" w:rsidR="00732BC5" w:rsidRPr="003E168A" w:rsidRDefault="00732BC5" w:rsidP="00732BC5">
      <w:pPr>
        <w:ind w:firstLine="0"/>
        <w:jc w:val="center"/>
        <w:rPr>
          <w:b/>
          <w:bCs/>
          <w:sz w:val="44"/>
          <w:szCs w:val="44"/>
        </w:rPr>
      </w:pPr>
    </w:p>
    <w:p w14:paraId="1D0D3A74" w14:textId="77777777" w:rsidR="00732BC5" w:rsidRPr="003E168A" w:rsidRDefault="00732BC5" w:rsidP="00732BC5">
      <w:pPr>
        <w:ind w:firstLine="0"/>
        <w:jc w:val="center"/>
        <w:rPr>
          <w:b/>
          <w:bCs/>
          <w:sz w:val="44"/>
          <w:szCs w:val="44"/>
        </w:rPr>
      </w:pPr>
    </w:p>
    <w:p w14:paraId="48E581B8" w14:textId="77777777" w:rsidR="00732BC5" w:rsidRPr="003E168A" w:rsidRDefault="00732BC5" w:rsidP="00732BC5">
      <w:pPr>
        <w:ind w:firstLine="0"/>
        <w:jc w:val="center"/>
        <w:rPr>
          <w:b/>
          <w:bCs/>
          <w:sz w:val="44"/>
          <w:szCs w:val="44"/>
        </w:rPr>
      </w:pPr>
    </w:p>
    <w:p w14:paraId="670530F2" w14:textId="77777777" w:rsidR="00732BC5" w:rsidRPr="003E168A" w:rsidRDefault="00732BC5" w:rsidP="00732BC5">
      <w:pPr>
        <w:ind w:firstLine="0"/>
        <w:jc w:val="center"/>
        <w:rPr>
          <w:b/>
          <w:bCs/>
          <w:sz w:val="44"/>
          <w:szCs w:val="44"/>
        </w:rPr>
      </w:pPr>
    </w:p>
    <w:p w14:paraId="37250BB8" w14:textId="1F883EFF" w:rsidR="00421BEE" w:rsidRPr="003E168A" w:rsidRDefault="00421BEE" w:rsidP="00732BC5">
      <w:pPr>
        <w:ind w:firstLine="0"/>
        <w:jc w:val="center"/>
        <w:rPr>
          <w:b/>
          <w:bCs/>
          <w:sz w:val="44"/>
          <w:szCs w:val="44"/>
        </w:rPr>
      </w:pPr>
      <w:r w:rsidRPr="003E168A">
        <w:rPr>
          <w:b/>
          <w:bCs/>
          <w:sz w:val="44"/>
          <w:szCs w:val="44"/>
        </w:rPr>
        <w:t>Kvantum-inspirált homogenitásmodellek a jövő társadalmi-gazdasági rendszereinek elemzésében</w:t>
      </w:r>
    </w:p>
    <w:p w14:paraId="53A16383" w14:textId="77777777" w:rsidR="00421BEE" w:rsidRPr="003E168A" w:rsidRDefault="00421BEE" w:rsidP="00421BEE"/>
    <w:p w14:paraId="759210C7" w14:textId="77777777" w:rsidR="00421BEE" w:rsidRPr="003E168A" w:rsidRDefault="00421BEE" w:rsidP="00421BEE"/>
    <w:p w14:paraId="664DE270" w14:textId="77777777" w:rsidR="00421BEE" w:rsidRPr="003E168A" w:rsidRDefault="00421BEE" w:rsidP="00421BEE"/>
    <w:p w14:paraId="50CB20D8" w14:textId="77777777" w:rsidR="00421BEE" w:rsidRDefault="00421BEE" w:rsidP="00421BEE"/>
    <w:p w14:paraId="3175680C" w14:textId="77777777" w:rsidR="007B5453" w:rsidRDefault="007B5453" w:rsidP="00421BEE"/>
    <w:p w14:paraId="35499FFD" w14:textId="77777777" w:rsidR="007B5453" w:rsidRDefault="007B5453" w:rsidP="00421BEE"/>
    <w:p w14:paraId="546D59F5" w14:textId="77777777" w:rsidR="007B5453" w:rsidRDefault="007B5453" w:rsidP="00421BEE"/>
    <w:p w14:paraId="464BDC8B" w14:textId="77777777" w:rsidR="007B5453" w:rsidRDefault="007B5453" w:rsidP="00421BEE"/>
    <w:p w14:paraId="4AC73934" w14:textId="77777777" w:rsidR="007B5453" w:rsidRDefault="007B5453" w:rsidP="00421BEE"/>
    <w:p w14:paraId="56E850EE" w14:textId="77777777" w:rsidR="007B5453" w:rsidRDefault="007B5453" w:rsidP="00421BEE"/>
    <w:p w14:paraId="1EC71FA6" w14:textId="77777777" w:rsidR="007B5453" w:rsidRDefault="007B5453" w:rsidP="00421BEE"/>
    <w:p w14:paraId="58CC491A" w14:textId="77777777" w:rsidR="007B5453" w:rsidRDefault="007B5453" w:rsidP="00421BEE"/>
    <w:p w14:paraId="7174CC49" w14:textId="77777777" w:rsidR="007B5453" w:rsidRDefault="007B5453" w:rsidP="00421BEE"/>
    <w:p w14:paraId="04D91ACD" w14:textId="77777777" w:rsidR="007B5453" w:rsidRDefault="007B5453" w:rsidP="00421BEE"/>
    <w:p w14:paraId="1A7E5168" w14:textId="77777777" w:rsidR="007B5453" w:rsidRDefault="007B5453" w:rsidP="007B5453">
      <w:pPr>
        <w:jc w:val="right"/>
      </w:pPr>
      <w:r>
        <w:t>Váradi Dániel</w:t>
      </w:r>
    </w:p>
    <w:p w14:paraId="68EAE029" w14:textId="001AAD7D" w:rsidR="007B5453" w:rsidRDefault="007B5453" w:rsidP="007B5453">
      <w:pPr>
        <w:jc w:val="right"/>
      </w:pPr>
      <w:r>
        <w:t xml:space="preserve">KJE, </w:t>
      </w:r>
      <w:proofErr w:type="spellStart"/>
      <w:r>
        <w:t>MSc</w:t>
      </w:r>
      <w:proofErr w:type="spellEnd"/>
      <w:r>
        <w:t>. Vállalkozásfejlesztés</w:t>
      </w:r>
    </w:p>
    <w:p w14:paraId="680ABB6E" w14:textId="3D00A210" w:rsidR="007B5453" w:rsidRPr="003E168A" w:rsidRDefault="007B5453" w:rsidP="007B5453">
      <w:pPr>
        <w:jc w:val="right"/>
      </w:pPr>
      <w:bookmarkStart w:id="0" w:name="_Hlk215817515"/>
      <w:r>
        <w:t>danielvaradi140@gmail.com</w:t>
      </w:r>
    </w:p>
    <w:bookmarkEnd w:id="0"/>
    <w:p w14:paraId="6487E66F" w14:textId="233F568E" w:rsidR="00421BEE" w:rsidRPr="003E168A" w:rsidRDefault="00421BEE" w:rsidP="00421BEE">
      <w:pPr>
        <w:pStyle w:val="Cmsor1"/>
        <w:ind w:firstLine="0"/>
      </w:pPr>
      <w:r w:rsidRPr="003E168A">
        <w:br w:type="page"/>
      </w:r>
    </w:p>
    <w:p w14:paraId="1E20A71D" w14:textId="77777777" w:rsidR="00421BEE" w:rsidRPr="003E168A" w:rsidRDefault="00421BEE" w:rsidP="00421BEE"/>
    <w:p w14:paraId="667FE971" w14:textId="3BCC121D" w:rsidR="00421BEE" w:rsidRPr="003E168A" w:rsidRDefault="00421BEE" w:rsidP="00E15FFF">
      <w:pPr>
        <w:spacing w:line="278" w:lineRule="auto"/>
        <w:ind w:firstLine="0"/>
        <w:jc w:val="center"/>
        <w:rPr>
          <w:rFonts w:eastAsiaTheme="majorEastAsia" w:cstheme="majorBidi"/>
          <w:b/>
          <w:sz w:val="32"/>
          <w:szCs w:val="40"/>
        </w:rPr>
      </w:pPr>
      <w:r w:rsidRPr="003E168A">
        <w:rPr>
          <w:rFonts w:eastAsiaTheme="majorEastAsia" w:cstheme="majorBidi"/>
          <w:b/>
          <w:sz w:val="32"/>
          <w:szCs w:val="40"/>
        </w:rPr>
        <w:t>Tartalom</w:t>
      </w:r>
    </w:p>
    <w:p w14:paraId="0346B67E" w14:textId="77777777" w:rsidR="001F65F0" w:rsidRPr="00617FAC" w:rsidRDefault="001F65F0">
      <w:pPr>
        <w:spacing w:line="278" w:lineRule="auto"/>
        <w:ind w:firstLine="0"/>
        <w:jc w:val="left"/>
        <w:rPr>
          <w:rFonts w:eastAsiaTheme="majorEastAsia" w:cs="Times New Roman"/>
          <w:b/>
        </w:rPr>
      </w:pPr>
    </w:p>
    <w:p w14:paraId="021E53B8" w14:textId="1598F95B" w:rsidR="00015357" w:rsidRPr="00015357" w:rsidRDefault="001F65F0">
      <w:pPr>
        <w:pStyle w:val="TJ1"/>
        <w:tabs>
          <w:tab w:val="right" w:leader="dot" w:pos="9060"/>
        </w:tabs>
        <w:rPr>
          <w:rFonts w:ascii="Times New Roman" w:eastAsiaTheme="minorEastAsia" w:hAnsi="Times New Roman" w:cs="Times New Roman"/>
          <w:b w:val="0"/>
          <w:bCs w:val="0"/>
          <w:caps w:val="0"/>
          <w:noProof/>
          <w:sz w:val="22"/>
          <w:szCs w:val="22"/>
          <w:lang w:eastAsia="hu-HU"/>
        </w:rPr>
      </w:pPr>
      <w:r w:rsidRPr="00015357">
        <w:rPr>
          <w:rFonts w:ascii="Times New Roman" w:eastAsiaTheme="majorEastAsia" w:hAnsi="Times New Roman" w:cs="Times New Roman"/>
          <w:b w:val="0"/>
          <w:sz w:val="24"/>
          <w:szCs w:val="24"/>
        </w:rPr>
        <w:fldChar w:fldCharType="begin"/>
      </w:r>
      <w:r w:rsidRPr="00015357">
        <w:rPr>
          <w:rFonts w:ascii="Times New Roman" w:eastAsiaTheme="majorEastAsia" w:hAnsi="Times New Roman" w:cs="Times New Roman"/>
          <w:b w:val="0"/>
          <w:sz w:val="24"/>
          <w:szCs w:val="24"/>
        </w:rPr>
        <w:instrText xml:space="preserve"> TOC \o "1-3" \h \z \u </w:instrText>
      </w:r>
      <w:r w:rsidRPr="00015357">
        <w:rPr>
          <w:rFonts w:ascii="Times New Roman" w:eastAsiaTheme="majorEastAsia" w:hAnsi="Times New Roman" w:cs="Times New Roman"/>
          <w:b w:val="0"/>
          <w:sz w:val="24"/>
          <w:szCs w:val="24"/>
        </w:rPr>
        <w:fldChar w:fldCharType="separate"/>
      </w:r>
      <w:hyperlink w:anchor="_Toc215817676" w:history="1">
        <w:r w:rsidR="00015357" w:rsidRPr="00015357">
          <w:rPr>
            <w:rStyle w:val="Hiperhivatkozs"/>
            <w:rFonts w:ascii="Times New Roman" w:hAnsi="Times New Roman" w:cs="Times New Roman"/>
            <w:noProof/>
            <w:sz w:val="22"/>
            <w:szCs w:val="22"/>
          </w:rPr>
          <w:t>Fogalomjegyzék</w:t>
        </w:r>
        <w:r w:rsidR="00015357" w:rsidRPr="00015357">
          <w:rPr>
            <w:rFonts w:ascii="Times New Roman" w:hAnsi="Times New Roman" w:cs="Times New Roman"/>
            <w:noProof/>
            <w:webHidden/>
            <w:sz w:val="22"/>
            <w:szCs w:val="22"/>
          </w:rPr>
          <w:tab/>
        </w:r>
        <w:r w:rsidR="00015357" w:rsidRPr="00015357">
          <w:rPr>
            <w:rFonts w:ascii="Times New Roman" w:hAnsi="Times New Roman" w:cs="Times New Roman"/>
            <w:noProof/>
            <w:webHidden/>
            <w:sz w:val="22"/>
            <w:szCs w:val="22"/>
          </w:rPr>
          <w:fldChar w:fldCharType="begin"/>
        </w:r>
        <w:r w:rsidR="00015357" w:rsidRPr="00015357">
          <w:rPr>
            <w:rFonts w:ascii="Times New Roman" w:hAnsi="Times New Roman" w:cs="Times New Roman"/>
            <w:noProof/>
            <w:webHidden/>
            <w:sz w:val="22"/>
            <w:szCs w:val="22"/>
          </w:rPr>
          <w:instrText xml:space="preserve"> PAGEREF _Toc215817676 \h </w:instrText>
        </w:r>
        <w:r w:rsidR="00015357" w:rsidRPr="00015357">
          <w:rPr>
            <w:rFonts w:ascii="Times New Roman" w:hAnsi="Times New Roman" w:cs="Times New Roman"/>
            <w:noProof/>
            <w:webHidden/>
            <w:sz w:val="22"/>
            <w:szCs w:val="22"/>
          </w:rPr>
        </w:r>
        <w:r w:rsidR="00015357" w:rsidRPr="00015357">
          <w:rPr>
            <w:rFonts w:ascii="Times New Roman" w:hAnsi="Times New Roman" w:cs="Times New Roman"/>
            <w:noProof/>
            <w:webHidden/>
            <w:sz w:val="22"/>
            <w:szCs w:val="22"/>
          </w:rPr>
          <w:fldChar w:fldCharType="separate"/>
        </w:r>
        <w:r w:rsidR="00015357" w:rsidRPr="00015357">
          <w:rPr>
            <w:rFonts w:ascii="Times New Roman" w:hAnsi="Times New Roman" w:cs="Times New Roman"/>
            <w:noProof/>
            <w:webHidden/>
            <w:sz w:val="22"/>
            <w:szCs w:val="22"/>
          </w:rPr>
          <w:t>5</w:t>
        </w:r>
        <w:r w:rsidR="00015357" w:rsidRPr="00015357">
          <w:rPr>
            <w:rFonts w:ascii="Times New Roman" w:hAnsi="Times New Roman" w:cs="Times New Roman"/>
            <w:noProof/>
            <w:webHidden/>
            <w:sz w:val="22"/>
            <w:szCs w:val="22"/>
          </w:rPr>
          <w:fldChar w:fldCharType="end"/>
        </w:r>
      </w:hyperlink>
    </w:p>
    <w:p w14:paraId="607E7D94" w14:textId="0C9FE7D1" w:rsidR="00015357" w:rsidRPr="00015357" w:rsidRDefault="00015357">
      <w:pPr>
        <w:pStyle w:val="TJ1"/>
        <w:tabs>
          <w:tab w:val="right" w:leader="dot" w:pos="9060"/>
        </w:tabs>
        <w:rPr>
          <w:rFonts w:ascii="Times New Roman" w:eastAsiaTheme="minorEastAsia" w:hAnsi="Times New Roman" w:cs="Times New Roman"/>
          <w:b w:val="0"/>
          <w:bCs w:val="0"/>
          <w:caps w:val="0"/>
          <w:noProof/>
          <w:sz w:val="22"/>
          <w:szCs w:val="22"/>
          <w:lang w:eastAsia="hu-HU"/>
        </w:rPr>
      </w:pPr>
      <w:hyperlink w:anchor="_Toc215817677" w:history="1">
        <w:r w:rsidRPr="00015357">
          <w:rPr>
            <w:rStyle w:val="Hiperhivatkozs"/>
            <w:rFonts w:ascii="Times New Roman" w:hAnsi="Times New Roman" w:cs="Times New Roman"/>
            <w:noProof/>
            <w:sz w:val="22"/>
            <w:szCs w:val="22"/>
          </w:rPr>
          <w:t>Ábrajegyzék</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_Toc215817677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6</w:t>
        </w:r>
        <w:r w:rsidRPr="00015357">
          <w:rPr>
            <w:rFonts w:ascii="Times New Roman" w:hAnsi="Times New Roman" w:cs="Times New Roman"/>
            <w:noProof/>
            <w:webHidden/>
            <w:sz w:val="22"/>
            <w:szCs w:val="22"/>
          </w:rPr>
          <w:fldChar w:fldCharType="end"/>
        </w:r>
      </w:hyperlink>
    </w:p>
    <w:p w14:paraId="6FA47866" w14:textId="565F0984" w:rsidR="00015357" w:rsidRPr="00015357" w:rsidRDefault="00015357">
      <w:pPr>
        <w:pStyle w:val="TJ1"/>
        <w:tabs>
          <w:tab w:val="left" w:pos="960"/>
          <w:tab w:val="right" w:leader="dot" w:pos="9060"/>
        </w:tabs>
        <w:rPr>
          <w:rFonts w:ascii="Times New Roman" w:eastAsiaTheme="minorEastAsia" w:hAnsi="Times New Roman" w:cs="Times New Roman"/>
          <w:b w:val="0"/>
          <w:bCs w:val="0"/>
          <w:caps w:val="0"/>
          <w:noProof/>
          <w:sz w:val="22"/>
          <w:szCs w:val="22"/>
          <w:lang w:eastAsia="hu-HU"/>
        </w:rPr>
      </w:pPr>
      <w:hyperlink w:anchor="_Toc215817678" w:history="1">
        <w:r w:rsidRPr="00015357">
          <w:rPr>
            <w:rStyle w:val="Hiperhivatkozs"/>
            <w:rFonts w:ascii="Times New Roman" w:hAnsi="Times New Roman" w:cs="Times New Roman"/>
            <w:noProof/>
            <w:sz w:val="22"/>
            <w:szCs w:val="22"/>
          </w:rPr>
          <w:t>1.</w:t>
        </w:r>
        <w:r w:rsidRPr="00015357">
          <w:rPr>
            <w:rFonts w:ascii="Times New Roman" w:eastAsiaTheme="minorEastAsia" w:hAnsi="Times New Roman" w:cs="Times New Roman"/>
            <w:b w:val="0"/>
            <w:bCs w:val="0"/>
            <w:caps w:val="0"/>
            <w:noProof/>
            <w:sz w:val="22"/>
            <w:szCs w:val="22"/>
            <w:lang w:eastAsia="hu-HU"/>
          </w:rPr>
          <w:tab/>
        </w:r>
        <w:r w:rsidRPr="00015357">
          <w:rPr>
            <w:rStyle w:val="Hiperhivatkozs"/>
            <w:rFonts w:ascii="Times New Roman" w:hAnsi="Times New Roman" w:cs="Times New Roman"/>
            <w:noProof/>
            <w:sz w:val="22"/>
            <w:szCs w:val="22"/>
          </w:rPr>
          <w:t>Bevezetés</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_Toc215817678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7</w:t>
        </w:r>
        <w:r w:rsidRPr="00015357">
          <w:rPr>
            <w:rFonts w:ascii="Times New Roman" w:hAnsi="Times New Roman" w:cs="Times New Roman"/>
            <w:noProof/>
            <w:webHidden/>
            <w:sz w:val="22"/>
            <w:szCs w:val="22"/>
          </w:rPr>
          <w:fldChar w:fldCharType="end"/>
        </w:r>
      </w:hyperlink>
    </w:p>
    <w:p w14:paraId="13ABC589" w14:textId="7FDB43A8" w:rsidR="00015357" w:rsidRPr="00015357" w:rsidRDefault="00015357">
      <w:pPr>
        <w:pStyle w:val="TJ1"/>
        <w:tabs>
          <w:tab w:val="left" w:pos="960"/>
          <w:tab w:val="right" w:leader="dot" w:pos="9060"/>
        </w:tabs>
        <w:rPr>
          <w:rFonts w:ascii="Times New Roman" w:eastAsiaTheme="minorEastAsia" w:hAnsi="Times New Roman" w:cs="Times New Roman"/>
          <w:b w:val="0"/>
          <w:bCs w:val="0"/>
          <w:caps w:val="0"/>
          <w:noProof/>
          <w:sz w:val="22"/>
          <w:szCs w:val="22"/>
          <w:lang w:eastAsia="hu-HU"/>
        </w:rPr>
      </w:pPr>
      <w:hyperlink w:anchor="_Toc215817679" w:history="1">
        <w:r w:rsidRPr="00015357">
          <w:rPr>
            <w:rStyle w:val="Hiperhivatkozs"/>
            <w:rFonts w:ascii="Times New Roman" w:hAnsi="Times New Roman" w:cs="Times New Roman"/>
            <w:noProof/>
            <w:sz w:val="22"/>
            <w:szCs w:val="22"/>
          </w:rPr>
          <w:t>2.</w:t>
        </w:r>
        <w:r w:rsidRPr="00015357">
          <w:rPr>
            <w:rFonts w:ascii="Times New Roman" w:eastAsiaTheme="minorEastAsia" w:hAnsi="Times New Roman" w:cs="Times New Roman"/>
            <w:b w:val="0"/>
            <w:bCs w:val="0"/>
            <w:caps w:val="0"/>
            <w:noProof/>
            <w:sz w:val="22"/>
            <w:szCs w:val="22"/>
            <w:lang w:eastAsia="hu-HU"/>
          </w:rPr>
          <w:tab/>
        </w:r>
        <w:r w:rsidRPr="00015357">
          <w:rPr>
            <w:rStyle w:val="Hiperhivatkozs"/>
            <w:rFonts w:ascii="Times New Roman" w:hAnsi="Times New Roman" w:cs="Times New Roman"/>
            <w:noProof/>
            <w:sz w:val="22"/>
            <w:szCs w:val="22"/>
          </w:rPr>
          <w:t>A tanulmány célja és jelentősége</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_Toc215817679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8</w:t>
        </w:r>
        <w:r w:rsidRPr="00015357">
          <w:rPr>
            <w:rFonts w:ascii="Times New Roman" w:hAnsi="Times New Roman" w:cs="Times New Roman"/>
            <w:noProof/>
            <w:webHidden/>
            <w:sz w:val="22"/>
            <w:szCs w:val="22"/>
          </w:rPr>
          <w:fldChar w:fldCharType="end"/>
        </w:r>
      </w:hyperlink>
    </w:p>
    <w:p w14:paraId="3FC5E293" w14:textId="60A021CE" w:rsidR="00015357" w:rsidRPr="00015357" w:rsidRDefault="00015357">
      <w:pPr>
        <w:pStyle w:val="TJ1"/>
        <w:tabs>
          <w:tab w:val="left" w:pos="960"/>
          <w:tab w:val="right" w:leader="dot" w:pos="9060"/>
        </w:tabs>
        <w:rPr>
          <w:rFonts w:ascii="Times New Roman" w:eastAsiaTheme="minorEastAsia" w:hAnsi="Times New Roman" w:cs="Times New Roman"/>
          <w:b w:val="0"/>
          <w:bCs w:val="0"/>
          <w:caps w:val="0"/>
          <w:noProof/>
          <w:sz w:val="22"/>
          <w:szCs w:val="22"/>
          <w:lang w:eastAsia="hu-HU"/>
        </w:rPr>
      </w:pPr>
      <w:hyperlink w:anchor="_Toc215817680" w:history="1">
        <w:r w:rsidRPr="00015357">
          <w:rPr>
            <w:rStyle w:val="Hiperhivatkozs"/>
            <w:rFonts w:ascii="Times New Roman" w:hAnsi="Times New Roman" w:cs="Times New Roman"/>
            <w:noProof/>
            <w:sz w:val="22"/>
            <w:szCs w:val="22"/>
          </w:rPr>
          <w:t>3.</w:t>
        </w:r>
        <w:r w:rsidRPr="00015357">
          <w:rPr>
            <w:rFonts w:ascii="Times New Roman" w:eastAsiaTheme="minorEastAsia" w:hAnsi="Times New Roman" w:cs="Times New Roman"/>
            <w:b w:val="0"/>
            <w:bCs w:val="0"/>
            <w:caps w:val="0"/>
            <w:noProof/>
            <w:sz w:val="22"/>
            <w:szCs w:val="22"/>
            <w:lang w:eastAsia="hu-HU"/>
          </w:rPr>
          <w:tab/>
        </w:r>
        <w:r w:rsidRPr="00015357">
          <w:rPr>
            <w:rStyle w:val="Hiperhivatkozs"/>
            <w:rFonts w:ascii="Times New Roman" w:hAnsi="Times New Roman" w:cs="Times New Roman"/>
            <w:noProof/>
            <w:sz w:val="22"/>
            <w:szCs w:val="22"/>
          </w:rPr>
          <w:t>Szakirodalom és Empirikus alapok</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_Toc215817680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9</w:t>
        </w:r>
        <w:r w:rsidRPr="00015357">
          <w:rPr>
            <w:rFonts w:ascii="Times New Roman" w:hAnsi="Times New Roman" w:cs="Times New Roman"/>
            <w:noProof/>
            <w:webHidden/>
            <w:sz w:val="22"/>
            <w:szCs w:val="22"/>
          </w:rPr>
          <w:fldChar w:fldCharType="end"/>
        </w:r>
      </w:hyperlink>
    </w:p>
    <w:p w14:paraId="2591F805" w14:textId="2E32CB37"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81" w:history="1">
        <w:r w:rsidRPr="00015357">
          <w:rPr>
            <w:rStyle w:val="Hiperhivatkozs"/>
            <w:rFonts w:ascii="Times New Roman" w:hAnsi="Times New Roman" w:cs="Times New Roman"/>
            <w:noProof/>
            <w:sz w:val="22"/>
            <w:szCs w:val="22"/>
          </w:rPr>
          <w:t>3.1.</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EU homogenitás</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_Toc215817681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9</w:t>
        </w:r>
        <w:r w:rsidRPr="00015357">
          <w:rPr>
            <w:rFonts w:ascii="Times New Roman" w:hAnsi="Times New Roman" w:cs="Times New Roman"/>
            <w:noProof/>
            <w:webHidden/>
            <w:sz w:val="22"/>
            <w:szCs w:val="22"/>
          </w:rPr>
          <w:fldChar w:fldCharType="end"/>
        </w:r>
      </w:hyperlink>
    </w:p>
    <w:p w14:paraId="6BE4B0C1" w14:textId="4EB7FFAF"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82" w:history="1">
        <w:r w:rsidRPr="00015357">
          <w:rPr>
            <w:rStyle w:val="Hiperhivatkozs"/>
            <w:rFonts w:ascii="Times New Roman" w:hAnsi="Times New Roman" w:cs="Times New Roman"/>
            <w:noProof/>
            <w:sz w:val="22"/>
            <w:szCs w:val="22"/>
          </w:rPr>
          <w:t>3.2.</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A Mezőföld fenntarthatósági elemzése</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_Toc215817682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10</w:t>
        </w:r>
        <w:r w:rsidRPr="00015357">
          <w:rPr>
            <w:rFonts w:ascii="Times New Roman" w:hAnsi="Times New Roman" w:cs="Times New Roman"/>
            <w:noProof/>
            <w:webHidden/>
            <w:sz w:val="22"/>
            <w:szCs w:val="22"/>
          </w:rPr>
          <w:fldChar w:fldCharType="end"/>
        </w:r>
      </w:hyperlink>
    </w:p>
    <w:p w14:paraId="3F5DCD41" w14:textId="2C874A6C"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83" w:history="1">
        <w:r w:rsidRPr="00015357">
          <w:rPr>
            <w:rStyle w:val="Hiperhivatkozs"/>
            <w:rFonts w:ascii="Times New Roman" w:hAnsi="Times New Roman" w:cs="Times New Roman"/>
            <w:noProof/>
            <w:sz w:val="22"/>
            <w:szCs w:val="22"/>
          </w:rPr>
          <w:t>3.3.</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Budapest és agglomeráció kulturális kohéziója</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_Toc215817683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11</w:t>
        </w:r>
        <w:r w:rsidRPr="00015357">
          <w:rPr>
            <w:rFonts w:ascii="Times New Roman" w:hAnsi="Times New Roman" w:cs="Times New Roman"/>
            <w:noProof/>
            <w:webHidden/>
            <w:sz w:val="22"/>
            <w:szCs w:val="22"/>
          </w:rPr>
          <w:fldChar w:fldCharType="end"/>
        </w:r>
      </w:hyperlink>
    </w:p>
    <w:p w14:paraId="0C981B3F" w14:textId="4F2C67D6"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84" w:history="1">
        <w:r w:rsidRPr="00015357">
          <w:rPr>
            <w:rStyle w:val="Hiperhivatkozs"/>
            <w:rFonts w:ascii="Times New Roman" w:hAnsi="Times New Roman" w:cs="Times New Roman"/>
            <w:noProof/>
            <w:sz w:val="22"/>
            <w:szCs w:val="22"/>
          </w:rPr>
          <w:t>3.4.</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Az AI-alapú kutatások és a kvantum-inspirált modellek kapcsolata</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_Toc215817684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12</w:t>
        </w:r>
        <w:r w:rsidRPr="00015357">
          <w:rPr>
            <w:rFonts w:ascii="Times New Roman" w:hAnsi="Times New Roman" w:cs="Times New Roman"/>
            <w:noProof/>
            <w:webHidden/>
            <w:sz w:val="22"/>
            <w:szCs w:val="22"/>
          </w:rPr>
          <w:fldChar w:fldCharType="end"/>
        </w:r>
      </w:hyperlink>
    </w:p>
    <w:p w14:paraId="4259F131" w14:textId="70F65B85" w:rsidR="00015357" w:rsidRPr="00015357" w:rsidRDefault="00015357">
      <w:pPr>
        <w:pStyle w:val="TJ1"/>
        <w:tabs>
          <w:tab w:val="left" w:pos="960"/>
          <w:tab w:val="right" w:leader="dot" w:pos="9060"/>
        </w:tabs>
        <w:rPr>
          <w:rFonts w:ascii="Times New Roman" w:eastAsiaTheme="minorEastAsia" w:hAnsi="Times New Roman" w:cs="Times New Roman"/>
          <w:b w:val="0"/>
          <w:bCs w:val="0"/>
          <w:caps w:val="0"/>
          <w:noProof/>
          <w:sz w:val="22"/>
          <w:szCs w:val="22"/>
          <w:lang w:eastAsia="hu-HU"/>
        </w:rPr>
      </w:pPr>
      <w:hyperlink w:anchor="_Toc215817685" w:history="1">
        <w:r w:rsidRPr="00015357">
          <w:rPr>
            <w:rStyle w:val="Hiperhivatkozs"/>
            <w:rFonts w:ascii="Times New Roman" w:hAnsi="Times New Roman" w:cs="Times New Roman"/>
            <w:noProof/>
            <w:sz w:val="22"/>
            <w:szCs w:val="22"/>
          </w:rPr>
          <w:t>4.</w:t>
        </w:r>
        <w:r w:rsidRPr="00015357">
          <w:rPr>
            <w:rFonts w:ascii="Times New Roman" w:eastAsiaTheme="minorEastAsia" w:hAnsi="Times New Roman" w:cs="Times New Roman"/>
            <w:b w:val="0"/>
            <w:bCs w:val="0"/>
            <w:caps w:val="0"/>
            <w:noProof/>
            <w:sz w:val="22"/>
            <w:szCs w:val="22"/>
            <w:lang w:eastAsia="hu-HU"/>
          </w:rPr>
          <w:tab/>
        </w:r>
        <w:r w:rsidRPr="00015357">
          <w:rPr>
            <w:rStyle w:val="Hiperhivatkozs"/>
            <w:rFonts w:ascii="Times New Roman" w:hAnsi="Times New Roman" w:cs="Times New Roman"/>
            <w:noProof/>
            <w:sz w:val="22"/>
            <w:szCs w:val="22"/>
          </w:rPr>
          <w:t>Kvantum-inspirált módszertani megközelítés</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_Toc215817685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12</w:t>
        </w:r>
        <w:r w:rsidRPr="00015357">
          <w:rPr>
            <w:rFonts w:ascii="Times New Roman" w:hAnsi="Times New Roman" w:cs="Times New Roman"/>
            <w:noProof/>
            <w:webHidden/>
            <w:sz w:val="22"/>
            <w:szCs w:val="22"/>
          </w:rPr>
          <w:fldChar w:fldCharType="end"/>
        </w:r>
      </w:hyperlink>
    </w:p>
    <w:p w14:paraId="0F86AC36" w14:textId="51B4214E"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86" w:history="1">
        <w:r w:rsidRPr="00015357">
          <w:rPr>
            <w:rStyle w:val="Hiperhivatkozs"/>
            <w:rFonts w:ascii="Times New Roman" w:hAnsi="Times New Roman" w:cs="Times New Roman"/>
            <w:noProof/>
            <w:sz w:val="22"/>
            <w:szCs w:val="22"/>
          </w:rPr>
          <w:t>4.1.</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Szuperpozíciós modellezés és valószínűségi rendszerállapotok</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_Toc215817686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12</w:t>
        </w:r>
        <w:r w:rsidRPr="00015357">
          <w:rPr>
            <w:rFonts w:ascii="Times New Roman" w:hAnsi="Times New Roman" w:cs="Times New Roman"/>
            <w:noProof/>
            <w:webHidden/>
            <w:sz w:val="22"/>
            <w:szCs w:val="22"/>
          </w:rPr>
          <w:fldChar w:fldCharType="end"/>
        </w:r>
      </w:hyperlink>
    </w:p>
    <w:p w14:paraId="3C894B11" w14:textId="57AF4D41"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87" w:history="1">
        <w:r w:rsidRPr="00015357">
          <w:rPr>
            <w:rStyle w:val="Hiperhivatkozs"/>
            <w:rFonts w:ascii="Times New Roman" w:hAnsi="Times New Roman" w:cs="Times New Roman"/>
            <w:noProof/>
            <w:sz w:val="22"/>
            <w:szCs w:val="22"/>
          </w:rPr>
          <w:t>4.2.</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Dekoherencia-szimuláció</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_Toc215817687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14</w:t>
        </w:r>
        <w:r w:rsidRPr="00015357">
          <w:rPr>
            <w:rFonts w:ascii="Times New Roman" w:hAnsi="Times New Roman" w:cs="Times New Roman"/>
            <w:noProof/>
            <w:webHidden/>
            <w:sz w:val="22"/>
            <w:szCs w:val="22"/>
          </w:rPr>
          <w:fldChar w:fldCharType="end"/>
        </w:r>
      </w:hyperlink>
    </w:p>
    <w:p w14:paraId="7A118E88" w14:textId="04FFDAE5"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88" w:history="1">
        <w:r w:rsidRPr="00015357">
          <w:rPr>
            <w:rStyle w:val="Hiperhivatkozs"/>
            <w:rFonts w:ascii="Times New Roman" w:hAnsi="Times New Roman" w:cs="Times New Roman"/>
            <w:noProof/>
            <w:sz w:val="22"/>
            <w:szCs w:val="22"/>
          </w:rPr>
          <w:t>4.3.</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Bifurkáció-detektálás</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_Toc215817688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14</w:t>
        </w:r>
        <w:r w:rsidRPr="00015357">
          <w:rPr>
            <w:rFonts w:ascii="Times New Roman" w:hAnsi="Times New Roman" w:cs="Times New Roman"/>
            <w:noProof/>
            <w:webHidden/>
            <w:sz w:val="22"/>
            <w:szCs w:val="22"/>
          </w:rPr>
          <w:fldChar w:fldCharType="end"/>
        </w:r>
      </w:hyperlink>
    </w:p>
    <w:p w14:paraId="0E9602ED" w14:textId="6A3A2BBA"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89" w:history="1">
        <w:r w:rsidRPr="00015357">
          <w:rPr>
            <w:rStyle w:val="Hiperhivatkozs"/>
            <w:rFonts w:ascii="Times New Roman" w:hAnsi="Times New Roman" w:cs="Times New Roman"/>
            <w:noProof/>
            <w:sz w:val="22"/>
            <w:szCs w:val="22"/>
          </w:rPr>
          <w:t>4.4.</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Az önvezető rendszerek és a kvantum-inspirált homogenitás modellezés kapcsolata</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_Toc215817689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15</w:t>
        </w:r>
        <w:r w:rsidRPr="00015357">
          <w:rPr>
            <w:rFonts w:ascii="Times New Roman" w:hAnsi="Times New Roman" w:cs="Times New Roman"/>
            <w:noProof/>
            <w:webHidden/>
            <w:sz w:val="22"/>
            <w:szCs w:val="22"/>
          </w:rPr>
          <w:fldChar w:fldCharType="end"/>
        </w:r>
      </w:hyperlink>
    </w:p>
    <w:p w14:paraId="2BFAF9F8" w14:textId="73E23924" w:rsidR="00015357" w:rsidRPr="00015357" w:rsidRDefault="00015357">
      <w:pPr>
        <w:pStyle w:val="TJ1"/>
        <w:tabs>
          <w:tab w:val="left" w:pos="960"/>
          <w:tab w:val="right" w:leader="dot" w:pos="9060"/>
        </w:tabs>
        <w:rPr>
          <w:rFonts w:ascii="Times New Roman" w:eastAsiaTheme="minorEastAsia" w:hAnsi="Times New Roman" w:cs="Times New Roman"/>
          <w:b w:val="0"/>
          <w:bCs w:val="0"/>
          <w:caps w:val="0"/>
          <w:noProof/>
          <w:sz w:val="22"/>
          <w:szCs w:val="22"/>
          <w:lang w:eastAsia="hu-HU"/>
        </w:rPr>
      </w:pPr>
      <w:hyperlink w:anchor="_Toc215817690" w:history="1">
        <w:r w:rsidRPr="00015357">
          <w:rPr>
            <w:rStyle w:val="Hiperhivatkozs"/>
            <w:rFonts w:ascii="Times New Roman" w:hAnsi="Times New Roman" w:cs="Times New Roman"/>
            <w:noProof/>
            <w:sz w:val="22"/>
            <w:szCs w:val="22"/>
          </w:rPr>
          <w:t>5.</w:t>
        </w:r>
        <w:r w:rsidRPr="00015357">
          <w:rPr>
            <w:rFonts w:ascii="Times New Roman" w:eastAsiaTheme="minorEastAsia" w:hAnsi="Times New Roman" w:cs="Times New Roman"/>
            <w:b w:val="0"/>
            <w:bCs w:val="0"/>
            <w:caps w:val="0"/>
            <w:noProof/>
            <w:sz w:val="22"/>
            <w:szCs w:val="22"/>
            <w:lang w:eastAsia="hu-HU"/>
          </w:rPr>
          <w:tab/>
        </w:r>
        <w:r w:rsidRPr="00015357">
          <w:rPr>
            <w:rStyle w:val="Hiperhivatkozs"/>
            <w:rFonts w:ascii="Times New Roman" w:hAnsi="Times New Roman" w:cs="Times New Roman"/>
            <w:noProof/>
            <w:sz w:val="22"/>
            <w:szCs w:val="22"/>
          </w:rPr>
          <w:t>A modell előnyei és gyakorlati alkalmazhatósága</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_Toc215817690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16</w:t>
        </w:r>
        <w:r w:rsidRPr="00015357">
          <w:rPr>
            <w:rFonts w:ascii="Times New Roman" w:hAnsi="Times New Roman" w:cs="Times New Roman"/>
            <w:noProof/>
            <w:webHidden/>
            <w:sz w:val="22"/>
            <w:szCs w:val="22"/>
          </w:rPr>
          <w:fldChar w:fldCharType="end"/>
        </w:r>
      </w:hyperlink>
    </w:p>
    <w:p w14:paraId="56545797" w14:textId="305EB199"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91" w:history="1">
        <w:r w:rsidRPr="00015357">
          <w:rPr>
            <w:rStyle w:val="Hiperhivatkozs"/>
            <w:rFonts w:ascii="Times New Roman" w:hAnsi="Times New Roman" w:cs="Times New Roman"/>
            <w:noProof/>
            <w:sz w:val="22"/>
            <w:szCs w:val="22"/>
          </w:rPr>
          <w:t>5.1.</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Korai válságjelző rendszerek</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_Toc215817691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16</w:t>
        </w:r>
        <w:r w:rsidRPr="00015357">
          <w:rPr>
            <w:rFonts w:ascii="Times New Roman" w:hAnsi="Times New Roman" w:cs="Times New Roman"/>
            <w:noProof/>
            <w:webHidden/>
            <w:sz w:val="22"/>
            <w:szCs w:val="22"/>
          </w:rPr>
          <w:fldChar w:fldCharType="end"/>
        </w:r>
      </w:hyperlink>
    </w:p>
    <w:p w14:paraId="7CB1140B" w14:textId="37A0F0EF"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92" w:history="1">
        <w:r w:rsidRPr="00015357">
          <w:rPr>
            <w:rStyle w:val="Hiperhivatkozs"/>
            <w:rFonts w:ascii="Times New Roman" w:hAnsi="Times New Roman" w:cs="Times New Roman"/>
            <w:noProof/>
            <w:sz w:val="22"/>
            <w:szCs w:val="22"/>
          </w:rPr>
          <w:t>5.2.</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Többszcenáriós politikai döntéstámogatás</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_Toc215817692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16</w:t>
        </w:r>
        <w:r w:rsidRPr="00015357">
          <w:rPr>
            <w:rFonts w:ascii="Times New Roman" w:hAnsi="Times New Roman" w:cs="Times New Roman"/>
            <w:noProof/>
            <w:webHidden/>
            <w:sz w:val="22"/>
            <w:szCs w:val="22"/>
          </w:rPr>
          <w:fldChar w:fldCharType="end"/>
        </w:r>
      </w:hyperlink>
    </w:p>
    <w:p w14:paraId="305AE22F" w14:textId="437CDEDA"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93" w:history="1">
        <w:r w:rsidRPr="00015357">
          <w:rPr>
            <w:rStyle w:val="Hiperhivatkozs"/>
            <w:rFonts w:ascii="Times New Roman" w:hAnsi="Times New Roman" w:cs="Times New Roman"/>
            <w:noProof/>
            <w:sz w:val="22"/>
            <w:szCs w:val="22"/>
          </w:rPr>
          <w:t>5.3.</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Objektív, automatizált monitoring</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_Toc215817693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17</w:t>
        </w:r>
        <w:r w:rsidRPr="00015357">
          <w:rPr>
            <w:rFonts w:ascii="Times New Roman" w:hAnsi="Times New Roman" w:cs="Times New Roman"/>
            <w:noProof/>
            <w:webHidden/>
            <w:sz w:val="22"/>
            <w:szCs w:val="22"/>
          </w:rPr>
          <w:fldChar w:fldCharType="end"/>
        </w:r>
      </w:hyperlink>
    </w:p>
    <w:p w14:paraId="29A3E60A" w14:textId="0C3FDEB2"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94" w:history="1">
        <w:r w:rsidRPr="00015357">
          <w:rPr>
            <w:rStyle w:val="Hiperhivatkozs"/>
            <w:rFonts w:ascii="Times New Roman" w:hAnsi="Times New Roman" w:cs="Times New Roman"/>
            <w:noProof/>
            <w:sz w:val="22"/>
            <w:szCs w:val="22"/>
          </w:rPr>
          <w:t>5.4.</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Interdiszciplináris alkalmazhatóság</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_Toc215817694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17</w:t>
        </w:r>
        <w:r w:rsidRPr="00015357">
          <w:rPr>
            <w:rFonts w:ascii="Times New Roman" w:hAnsi="Times New Roman" w:cs="Times New Roman"/>
            <w:noProof/>
            <w:webHidden/>
            <w:sz w:val="22"/>
            <w:szCs w:val="22"/>
          </w:rPr>
          <w:fldChar w:fldCharType="end"/>
        </w:r>
      </w:hyperlink>
    </w:p>
    <w:p w14:paraId="0FBCD39E" w14:textId="359D5C6B" w:rsidR="00015357" w:rsidRPr="00015357" w:rsidRDefault="00015357">
      <w:pPr>
        <w:pStyle w:val="TJ2"/>
        <w:tabs>
          <w:tab w:val="left" w:pos="1200"/>
          <w:tab w:val="right" w:leader="dot" w:pos="9060"/>
        </w:tabs>
        <w:rPr>
          <w:rFonts w:ascii="Times New Roman" w:eastAsiaTheme="minorEastAsia" w:hAnsi="Times New Roman" w:cs="Times New Roman"/>
          <w:smallCaps w:val="0"/>
          <w:noProof/>
          <w:sz w:val="22"/>
          <w:szCs w:val="22"/>
          <w:lang w:eastAsia="hu-HU"/>
        </w:rPr>
      </w:pPr>
      <w:hyperlink w:anchor="_Toc215817695" w:history="1">
        <w:r w:rsidRPr="00015357">
          <w:rPr>
            <w:rStyle w:val="Hiperhivatkozs"/>
            <w:rFonts w:ascii="Times New Roman" w:hAnsi="Times New Roman" w:cs="Times New Roman"/>
            <w:noProof/>
            <w:sz w:val="22"/>
            <w:szCs w:val="22"/>
          </w:rPr>
          <w:t>5.5.</w:t>
        </w:r>
        <w:r w:rsidRPr="00015357">
          <w:rPr>
            <w:rFonts w:ascii="Times New Roman" w:eastAsiaTheme="minorEastAsia" w:hAnsi="Times New Roman" w:cs="Times New Roman"/>
            <w:smallCaps w:val="0"/>
            <w:noProof/>
            <w:sz w:val="22"/>
            <w:szCs w:val="22"/>
            <w:lang w:eastAsia="hu-HU"/>
          </w:rPr>
          <w:tab/>
        </w:r>
        <w:r w:rsidRPr="00015357">
          <w:rPr>
            <w:rStyle w:val="Hiperhivatkozs"/>
            <w:rFonts w:ascii="Times New Roman" w:hAnsi="Times New Roman" w:cs="Times New Roman"/>
            <w:noProof/>
            <w:sz w:val="22"/>
            <w:szCs w:val="22"/>
          </w:rPr>
          <w:t>Technológiai feltételek</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_Toc215817695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17</w:t>
        </w:r>
        <w:r w:rsidRPr="00015357">
          <w:rPr>
            <w:rFonts w:ascii="Times New Roman" w:hAnsi="Times New Roman" w:cs="Times New Roman"/>
            <w:noProof/>
            <w:webHidden/>
            <w:sz w:val="22"/>
            <w:szCs w:val="22"/>
          </w:rPr>
          <w:fldChar w:fldCharType="end"/>
        </w:r>
      </w:hyperlink>
    </w:p>
    <w:p w14:paraId="5A0F20E6" w14:textId="25A32533" w:rsidR="00015357" w:rsidRPr="00015357" w:rsidRDefault="00015357">
      <w:pPr>
        <w:pStyle w:val="TJ1"/>
        <w:tabs>
          <w:tab w:val="left" w:pos="960"/>
          <w:tab w:val="right" w:leader="dot" w:pos="9060"/>
        </w:tabs>
        <w:rPr>
          <w:rFonts w:ascii="Times New Roman" w:eastAsiaTheme="minorEastAsia" w:hAnsi="Times New Roman" w:cs="Times New Roman"/>
          <w:b w:val="0"/>
          <w:bCs w:val="0"/>
          <w:caps w:val="0"/>
          <w:noProof/>
          <w:sz w:val="22"/>
          <w:szCs w:val="22"/>
          <w:lang w:eastAsia="hu-HU"/>
        </w:rPr>
      </w:pPr>
      <w:hyperlink w:anchor="_Toc215817696" w:history="1">
        <w:r w:rsidRPr="00015357">
          <w:rPr>
            <w:rStyle w:val="Hiperhivatkozs"/>
            <w:rFonts w:ascii="Times New Roman" w:hAnsi="Times New Roman" w:cs="Times New Roman"/>
            <w:noProof/>
            <w:sz w:val="22"/>
            <w:szCs w:val="22"/>
          </w:rPr>
          <w:t>6.</w:t>
        </w:r>
        <w:r w:rsidRPr="00015357">
          <w:rPr>
            <w:rFonts w:ascii="Times New Roman" w:eastAsiaTheme="minorEastAsia" w:hAnsi="Times New Roman" w:cs="Times New Roman"/>
            <w:b w:val="0"/>
            <w:bCs w:val="0"/>
            <w:caps w:val="0"/>
            <w:noProof/>
            <w:sz w:val="22"/>
            <w:szCs w:val="22"/>
            <w:lang w:eastAsia="hu-HU"/>
          </w:rPr>
          <w:tab/>
        </w:r>
        <w:r w:rsidRPr="00015357">
          <w:rPr>
            <w:rStyle w:val="Hiperhivatkozs"/>
            <w:rFonts w:ascii="Times New Roman" w:hAnsi="Times New Roman" w:cs="Times New Roman"/>
            <w:noProof/>
            <w:sz w:val="22"/>
            <w:szCs w:val="22"/>
          </w:rPr>
          <w:t>Szakpolitikai és etikai következmények</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_Toc215817696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18</w:t>
        </w:r>
        <w:r w:rsidRPr="00015357">
          <w:rPr>
            <w:rFonts w:ascii="Times New Roman" w:hAnsi="Times New Roman" w:cs="Times New Roman"/>
            <w:noProof/>
            <w:webHidden/>
            <w:sz w:val="22"/>
            <w:szCs w:val="22"/>
          </w:rPr>
          <w:fldChar w:fldCharType="end"/>
        </w:r>
      </w:hyperlink>
    </w:p>
    <w:p w14:paraId="116E02DB" w14:textId="13682054" w:rsidR="00015357" w:rsidRPr="00015357" w:rsidRDefault="00015357">
      <w:pPr>
        <w:pStyle w:val="TJ1"/>
        <w:tabs>
          <w:tab w:val="left" w:pos="960"/>
          <w:tab w:val="right" w:leader="dot" w:pos="9060"/>
        </w:tabs>
        <w:rPr>
          <w:rFonts w:ascii="Times New Roman" w:eastAsiaTheme="minorEastAsia" w:hAnsi="Times New Roman" w:cs="Times New Roman"/>
          <w:b w:val="0"/>
          <w:bCs w:val="0"/>
          <w:caps w:val="0"/>
          <w:noProof/>
          <w:sz w:val="22"/>
          <w:szCs w:val="22"/>
          <w:lang w:eastAsia="hu-HU"/>
        </w:rPr>
      </w:pPr>
      <w:hyperlink w:anchor="_Toc215817697" w:history="1">
        <w:r w:rsidRPr="00015357">
          <w:rPr>
            <w:rStyle w:val="Hiperhivatkozs"/>
            <w:rFonts w:ascii="Times New Roman" w:hAnsi="Times New Roman" w:cs="Times New Roman"/>
            <w:noProof/>
            <w:sz w:val="22"/>
            <w:szCs w:val="22"/>
          </w:rPr>
          <w:t>7.</w:t>
        </w:r>
        <w:r w:rsidRPr="00015357">
          <w:rPr>
            <w:rFonts w:ascii="Times New Roman" w:eastAsiaTheme="minorEastAsia" w:hAnsi="Times New Roman" w:cs="Times New Roman"/>
            <w:b w:val="0"/>
            <w:bCs w:val="0"/>
            <w:caps w:val="0"/>
            <w:noProof/>
            <w:sz w:val="22"/>
            <w:szCs w:val="22"/>
            <w:lang w:eastAsia="hu-HU"/>
          </w:rPr>
          <w:tab/>
        </w:r>
        <w:r w:rsidRPr="00015357">
          <w:rPr>
            <w:rStyle w:val="Hiperhivatkozs"/>
            <w:rFonts w:ascii="Times New Roman" w:hAnsi="Times New Roman" w:cs="Times New Roman"/>
            <w:noProof/>
            <w:sz w:val="22"/>
            <w:szCs w:val="22"/>
          </w:rPr>
          <w:t>Következtetések, összefoglalás és jövőbeli kutatási irányok</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_Toc215817697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19</w:t>
        </w:r>
        <w:r w:rsidRPr="00015357">
          <w:rPr>
            <w:rFonts w:ascii="Times New Roman" w:hAnsi="Times New Roman" w:cs="Times New Roman"/>
            <w:noProof/>
            <w:webHidden/>
            <w:sz w:val="22"/>
            <w:szCs w:val="22"/>
          </w:rPr>
          <w:fldChar w:fldCharType="end"/>
        </w:r>
      </w:hyperlink>
    </w:p>
    <w:p w14:paraId="4470433B" w14:textId="31687DA3" w:rsidR="00015357" w:rsidRPr="00015357" w:rsidRDefault="00015357">
      <w:pPr>
        <w:pStyle w:val="TJ1"/>
        <w:tabs>
          <w:tab w:val="left" w:pos="960"/>
          <w:tab w:val="right" w:leader="dot" w:pos="9060"/>
        </w:tabs>
        <w:rPr>
          <w:rFonts w:ascii="Times New Roman" w:eastAsiaTheme="minorEastAsia" w:hAnsi="Times New Roman" w:cs="Times New Roman"/>
          <w:b w:val="0"/>
          <w:bCs w:val="0"/>
          <w:caps w:val="0"/>
          <w:noProof/>
          <w:sz w:val="22"/>
          <w:szCs w:val="22"/>
          <w:lang w:eastAsia="hu-HU"/>
        </w:rPr>
      </w:pPr>
      <w:hyperlink w:anchor="_Toc215817698" w:history="1">
        <w:r w:rsidRPr="00015357">
          <w:rPr>
            <w:rStyle w:val="Hiperhivatkozs"/>
            <w:rFonts w:ascii="Times New Roman" w:hAnsi="Times New Roman" w:cs="Times New Roman"/>
            <w:noProof/>
            <w:sz w:val="22"/>
            <w:szCs w:val="22"/>
          </w:rPr>
          <w:t>8.</w:t>
        </w:r>
        <w:r w:rsidRPr="00015357">
          <w:rPr>
            <w:rFonts w:ascii="Times New Roman" w:eastAsiaTheme="minorEastAsia" w:hAnsi="Times New Roman" w:cs="Times New Roman"/>
            <w:b w:val="0"/>
            <w:bCs w:val="0"/>
            <w:caps w:val="0"/>
            <w:noProof/>
            <w:sz w:val="22"/>
            <w:szCs w:val="22"/>
            <w:lang w:eastAsia="hu-HU"/>
          </w:rPr>
          <w:tab/>
        </w:r>
        <w:r w:rsidRPr="00015357">
          <w:rPr>
            <w:rStyle w:val="Hiperhivatkozs"/>
            <w:rFonts w:ascii="Times New Roman" w:hAnsi="Times New Roman" w:cs="Times New Roman"/>
            <w:noProof/>
            <w:sz w:val="22"/>
            <w:szCs w:val="22"/>
          </w:rPr>
          <w:t>Irodalomjegyzék</w:t>
        </w:r>
        <w:r w:rsidRPr="00015357">
          <w:rPr>
            <w:rFonts w:ascii="Times New Roman" w:hAnsi="Times New Roman" w:cs="Times New Roman"/>
            <w:noProof/>
            <w:webHidden/>
            <w:sz w:val="22"/>
            <w:szCs w:val="22"/>
          </w:rPr>
          <w:tab/>
        </w:r>
        <w:r w:rsidRPr="00015357">
          <w:rPr>
            <w:rFonts w:ascii="Times New Roman" w:hAnsi="Times New Roman" w:cs="Times New Roman"/>
            <w:noProof/>
            <w:webHidden/>
            <w:sz w:val="22"/>
            <w:szCs w:val="22"/>
          </w:rPr>
          <w:fldChar w:fldCharType="begin"/>
        </w:r>
        <w:r w:rsidRPr="00015357">
          <w:rPr>
            <w:rFonts w:ascii="Times New Roman" w:hAnsi="Times New Roman" w:cs="Times New Roman"/>
            <w:noProof/>
            <w:webHidden/>
            <w:sz w:val="22"/>
            <w:szCs w:val="22"/>
          </w:rPr>
          <w:instrText xml:space="preserve"> PAGEREF _Toc215817698 \h </w:instrText>
        </w:r>
        <w:r w:rsidRPr="00015357">
          <w:rPr>
            <w:rFonts w:ascii="Times New Roman" w:hAnsi="Times New Roman" w:cs="Times New Roman"/>
            <w:noProof/>
            <w:webHidden/>
            <w:sz w:val="22"/>
            <w:szCs w:val="22"/>
          </w:rPr>
        </w:r>
        <w:r w:rsidRPr="00015357">
          <w:rPr>
            <w:rFonts w:ascii="Times New Roman" w:hAnsi="Times New Roman" w:cs="Times New Roman"/>
            <w:noProof/>
            <w:webHidden/>
            <w:sz w:val="22"/>
            <w:szCs w:val="22"/>
          </w:rPr>
          <w:fldChar w:fldCharType="separate"/>
        </w:r>
        <w:r w:rsidRPr="00015357">
          <w:rPr>
            <w:rFonts w:ascii="Times New Roman" w:hAnsi="Times New Roman" w:cs="Times New Roman"/>
            <w:noProof/>
            <w:webHidden/>
            <w:sz w:val="22"/>
            <w:szCs w:val="22"/>
          </w:rPr>
          <w:t>21</w:t>
        </w:r>
        <w:r w:rsidRPr="00015357">
          <w:rPr>
            <w:rFonts w:ascii="Times New Roman" w:hAnsi="Times New Roman" w:cs="Times New Roman"/>
            <w:noProof/>
            <w:webHidden/>
            <w:sz w:val="22"/>
            <w:szCs w:val="22"/>
          </w:rPr>
          <w:fldChar w:fldCharType="end"/>
        </w:r>
      </w:hyperlink>
    </w:p>
    <w:p w14:paraId="5AA13B64" w14:textId="21D006B4" w:rsidR="001F65F0" w:rsidRPr="003E168A" w:rsidRDefault="001F65F0">
      <w:pPr>
        <w:spacing w:line="278" w:lineRule="auto"/>
        <w:ind w:firstLine="0"/>
        <w:jc w:val="left"/>
        <w:rPr>
          <w:rFonts w:eastAsiaTheme="majorEastAsia" w:cstheme="majorBidi"/>
          <w:b/>
          <w:sz w:val="32"/>
          <w:szCs w:val="40"/>
        </w:rPr>
      </w:pPr>
      <w:r w:rsidRPr="00015357">
        <w:rPr>
          <w:rFonts w:eastAsiaTheme="majorEastAsia" w:cs="Times New Roman"/>
          <w:b/>
        </w:rPr>
        <w:fldChar w:fldCharType="end"/>
      </w:r>
    </w:p>
    <w:p w14:paraId="24738F5A" w14:textId="77777777" w:rsidR="00421BEE" w:rsidRPr="003E168A" w:rsidRDefault="00421BEE">
      <w:pPr>
        <w:spacing w:line="278" w:lineRule="auto"/>
        <w:ind w:firstLine="0"/>
        <w:jc w:val="left"/>
        <w:rPr>
          <w:rFonts w:eastAsiaTheme="majorEastAsia" w:cstheme="majorBidi"/>
          <w:b/>
          <w:sz w:val="32"/>
          <w:szCs w:val="40"/>
        </w:rPr>
      </w:pPr>
      <w:r w:rsidRPr="003E168A">
        <w:br w:type="page"/>
      </w:r>
    </w:p>
    <w:p w14:paraId="6D557E84" w14:textId="77777777" w:rsidR="007B5453" w:rsidRDefault="007B5453" w:rsidP="007B5453">
      <w:pPr>
        <w:spacing w:line="240" w:lineRule="auto"/>
        <w:ind w:firstLine="0"/>
        <w:jc w:val="center"/>
        <w:rPr>
          <w:rFonts w:cstheme="minorHAnsi"/>
          <w:b/>
          <w:bCs/>
          <w:szCs w:val="20"/>
        </w:rPr>
      </w:pPr>
      <w:r w:rsidRPr="00CD2DD2">
        <w:rPr>
          <w:rFonts w:cstheme="minorHAnsi"/>
          <w:b/>
          <w:bCs/>
          <w:szCs w:val="20"/>
        </w:rPr>
        <w:lastRenderedPageBreak/>
        <w:t xml:space="preserve">Kvantum-inspirált homogenitásmodellek a jövő társadalmi-gazdasági rendszereinek </w:t>
      </w:r>
      <w:r w:rsidRPr="007B5453">
        <w:rPr>
          <w:rFonts w:cstheme="minorHAnsi"/>
          <w:b/>
          <w:bCs/>
          <w:szCs w:val="20"/>
        </w:rPr>
        <w:t>elemzésében</w:t>
      </w:r>
    </w:p>
    <w:p w14:paraId="03E3864B" w14:textId="77777777" w:rsidR="007B5453" w:rsidRPr="00CD2DD2" w:rsidRDefault="007B5453" w:rsidP="007B5453">
      <w:pPr>
        <w:spacing w:line="240" w:lineRule="auto"/>
        <w:ind w:firstLine="0"/>
        <w:jc w:val="center"/>
        <w:rPr>
          <w:rFonts w:cstheme="minorHAnsi"/>
          <w:szCs w:val="20"/>
        </w:rPr>
      </w:pPr>
      <w:r w:rsidRPr="00CD2DD2">
        <w:rPr>
          <w:rFonts w:cstheme="minorHAnsi"/>
          <w:szCs w:val="20"/>
        </w:rPr>
        <w:t xml:space="preserve">Váradi Dániel, </w:t>
      </w:r>
      <w:proofErr w:type="spellStart"/>
      <w:r w:rsidRPr="00CD2DD2">
        <w:rPr>
          <w:rFonts w:cstheme="minorHAnsi"/>
          <w:szCs w:val="20"/>
        </w:rPr>
        <w:t>MSc</w:t>
      </w:r>
      <w:proofErr w:type="spellEnd"/>
      <w:r w:rsidRPr="00CD2DD2">
        <w:rPr>
          <w:rFonts w:cstheme="minorHAnsi"/>
          <w:szCs w:val="20"/>
        </w:rPr>
        <w:t>. Vállalkozásfejlesztés</w:t>
      </w:r>
    </w:p>
    <w:p w14:paraId="37A20B60" w14:textId="59180AB5" w:rsidR="007B5453" w:rsidRDefault="007B5453" w:rsidP="007B5453">
      <w:pPr>
        <w:spacing w:line="240" w:lineRule="auto"/>
        <w:ind w:firstLine="0"/>
        <w:jc w:val="center"/>
      </w:pPr>
      <w:hyperlink r:id="rId8" w:history="1">
        <w:r w:rsidRPr="000172F0">
          <w:rPr>
            <w:rStyle w:val="Hiperhivatkozs"/>
          </w:rPr>
          <w:t>danielvaradi140@gmail.com</w:t>
        </w:r>
      </w:hyperlink>
    </w:p>
    <w:p w14:paraId="006F0382" w14:textId="6CACAE27" w:rsidR="007B5453" w:rsidRDefault="007B5453" w:rsidP="007B5453">
      <w:pPr>
        <w:spacing w:line="240" w:lineRule="auto"/>
        <w:ind w:firstLine="0"/>
        <w:jc w:val="center"/>
        <w:rPr>
          <w:rFonts w:cstheme="minorHAnsi"/>
          <w:szCs w:val="20"/>
        </w:rPr>
      </w:pPr>
      <w:r w:rsidRPr="00CD2DD2">
        <w:rPr>
          <w:rFonts w:cstheme="minorHAnsi"/>
          <w:szCs w:val="20"/>
        </w:rPr>
        <w:t>Kodolányi János Egyetem</w:t>
      </w:r>
    </w:p>
    <w:p w14:paraId="3DE630DF" w14:textId="77777777" w:rsidR="007B5453" w:rsidRDefault="007B5453" w:rsidP="007B5453">
      <w:pPr>
        <w:spacing w:line="240" w:lineRule="auto"/>
        <w:ind w:firstLine="0"/>
        <w:jc w:val="center"/>
        <w:rPr>
          <w:rFonts w:cstheme="minorHAnsi"/>
          <w:szCs w:val="20"/>
        </w:rPr>
      </w:pPr>
    </w:p>
    <w:p w14:paraId="42EDC004" w14:textId="77777777" w:rsidR="007B5453" w:rsidRDefault="007B5453" w:rsidP="007B5453">
      <w:pPr>
        <w:spacing w:line="240" w:lineRule="auto"/>
        <w:ind w:firstLine="0"/>
        <w:jc w:val="center"/>
        <w:rPr>
          <w:rFonts w:cstheme="minorHAnsi"/>
          <w:szCs w:val="20"/>
        </w:rPr>
      </w:pPr>
    </w:p>
    <w:p w14:paraId="35EC3910" w14:textId="77777777" w:rsidR="007B5453" w:rsidRPr="00CD2DD2" w:rsidRDefault="007B5453" w:rsidP="007B5453">
      <w:pPr>
        <w:spacing w:line="240" w:lineRule="auto"/>
        <w:ind w:firstLine="0"/>
        <w:jc w:val="center"/>
        <w:rPr>
          <w:rFonts w:cstheme="minorHAnsi"/>
          <w:b/>
          <w:bCs/>
          <w:szCs w:val="20"/>
          <w:lang w:val="en-US"/>
        </w:rPr>
      </w:pPr>
      <w:r w:rsidRPr="00CD2DD2">
        <w:rPr>
          <w:rFonts w:cstheme="minorHAnsi"/>
          <w:b/>
          <w:bCs/>
          <w:szCs w:val="20"/>
          <w:lang w:val="en-US"/>
        </w:rPr>
        <w:t>Quantum-Inspired Homogeneity Models in the Analysis of Future Socio-Economic Systems</w:t>
      </w:r>
    </w:p>
    <w:p w14:paraId="4255EBF6" w14:textId="77777777" w:rsidR="007B5453" w:rsidRDefault="007B5453" w:rsidP="007B5453">
      <w:pPr>
        <w:spacing w:line="240" w:lineRule="auto"/>
        <w:ind w:firstLine="0"/>
        <w:jc w:val="center"/>
        <w:rPr>
          <w:rFonts w:cstheme="minorHAnsi"/>
          <w:szCs w:val="20"/>
        </w:rPr>
      </w:pPr>
      <w:r>
        <w:rPr>
          <w:rFonts w:cstheme="minorHAnsi"/>
          <w:szCs w:val="20"/>
        </w:rPr>
        <w:t xml:space="preserve">Dániel Váradi, </w:t>
      </w:r>
      <w:proofErr w:type="spellStart"/>
      <w:r>
        <w:rPr>
          <w:rFonts w:cstheme="minorHAnsi"/>
          <w:szCs w:val="20"/>
        </w:rPr>
        <w:t>MSc</w:t>
      </w:r>
      <w:proofErr w:type="spellEnd"/>
      <w:r>
        <w:rPr>
          <w:rFonts w:cstheme="minorHAnsi"/>
          <w:szCs w:val="20"/>
        </w:rPr>
        <w:t xml:space="preserve">. Business </w:t>
      </w:r>
      <w:proofErr w:type="spellStart"/>
      <w:r>
        <w:rPr>
          <w:rFonts w:cstheme="minorHAnsi"/>
          <w:szCs w:val="20"/>
        </w:rPr>
        <w:t>Development</w:t>
      </w:r>
      <w:proofErr w:type="spellEnd"/>
    </w:p>
    <w:p w14:paraId="72759D1A" w14:textId="6831B608" w:rsidR="007B5453" w:rsidRDefault="007B5453" w:rsidP="007B5453">
      <w:pPr>
        <w:spacing w:line="240" w:lineRule="auto"/>
        <w:ind w:firstLine="0"/>
        <w:jc w:val="center"/>
      </w:pPr>
      <w:hyperlink r:id="rId9" w:history="1">
        <w:r w:rsidRPr="000172F0">
          <w:rPr>
            <w:rStyle w:val="Hiperhivatkozs"/>
          </w:rPr>
          <w:t>danielvaradi140@gmail.com</w:t>
        </w:r>
      </w:hyperlink>
    </w:p>
    <w:p w14:paraId="34A1F3AE" w14:textId="6A0239F0" w:rsidR="007B5453" w:rsidRPr="00CD2DD2" w:rsidRDefault="007B5453" w:rsidP="007B5453">
      <w:pPr>
        <w:spacing w:line="240" w:lineRule="auto"/>
        <w:ind w:firstLine="0"/>
        <w:jc w:val="center"/>
        <w:rPr>
          <w:rFonts w:cstheme="minorHAnsi"/>
          <w:szCs w:val="20"/>
        </w:rPr>
      </w:pPr>
      <w:r>
        <w:rPr>
          <w:rFonts w:cstheme="minorHAnsi"/>
          <w:szCs w:val="20"/>
        </w:rPr>
        <w:t>Kodolányi University</w:t>
      </w:r>
    </w:p>
    <w:p w14:paraId="440E236A" w14:textId="77777777" w:rsidR="007B5453" w:rsidRPr="00DF6C15" w:rsidRDefault="007B5453" w:rsidP="007B5453">
      <w:pPr>
        <w:spacing w:line="240" w:lineRule="auto"/>
        <w:ind w:firstLine="0"/>
        <w:jc w:val="left"/>
        <w:rPr>
          <w:b/>
          <w:bCs/>
          <w:sz w:val="32"/>
          <w:szCs w:val="32"/>
        </w:rPr>
      </w:pPr>
    </w:p>
    <w:p w14:paraId="6D71851A" w14:textId="77777777" w:rsidR="007B5453" w:rsidRPr="003A2C7E" w:rsidRDefault="007B5453" w:rsidP="00015357">
      <w:pPr>
        <w:spacing w:after="120"/>
        <w:ind w:firstLine="0"/>
        <w:rPr>
          <w:rFonts w:cstheme="minorHAnsi"/>
          <w:b/>
          <w:bCs/>
        </w:rPr>
      </w:pPr>
      <w:r w:rsidRPr="003A2C7E">
        <w:rPr>
          <w:rFonts w:cstheme="minorHAnsi"/>
          <w:b/>
          <w:bCs/>
        </w:rPr>
        <w:t>Absztrakt</w:t>
      </w:r>
    </w:p>
    <w:p w14:paraId="370C305B" w14:textId="77777777" w:rsidR="007B5453" w:rsidRPr="00397BFE" w:rsidRDefault="007B5453" w:rsidP="00015357">
      <w:pPr>
        <w:spacing w:after="120"/>
        <w:ind w:firstLine="0"/>
        <w:rPr>
          <w:rFonts w:cstheme="minorHAnsi"/>
          <w:szCs w:val="20"/>
        </w:rPr>
      </w:pPr>
      <w:r w:rsidRPr="00397BFE">
        <w:rPr>
          <w:rFonts w:cstheme="minorHAnsi"/>
          <w:szCs w:val="20"/>
        </w:rPr>
        <w:t>A  hagyományos társadalmi-gazdasági modellek csak korlátozottan képesek kezelni a válsághelyzetek során fellépő nemlineáris folyamatokat mint például a 2008-as pénzügyi világválság előjeleit, a COVID-19</w:t>
      </w:r>
      <w:r>
        <w:rPr>
          <w:rFonts w:cstheme="minorHAnsi"/>
          <w:szCs w:val="20"/>
        </w:rPr>
        <w:t xml:space="preserve"> alatt kialakult</w:t>
      </w:r>
      <w:r w:rsidRPr="00397BFE">
        <w:rPr>
          <w:rFonts w:cstheme="minorHAnsi"/>
          <w:szCs w:val="20"/>
        </w:rPr>
        <w:t xml:space="preserve"> ellátási lánc sokkjait, vagy a 2022-es energiaválság inflációs divergenciáit. Ezért van</w:t>
      </w:r>
      <w:r>
        <w:rPr>
          <w:rFonts w:cstheme="minorHAnsi"/>
          <w:szCs w:val="20"/>
        </w:rPr>
        <w:t xml:space="preserve"> </w:t>
      </w:r>
      <w:r w:rsidRPr="00397BFE">
        <w:rPr>
          <w:rFonts w:cstheme="minorHAnsi"/>
          <w:szCs w:val="20"/>
        </w:rPr>
        <w:t xml:space="preserve">szükség egy olyan modellezési eszközrendszerre, ami képes adat vezérleten, statisztikai adatok alapján rejtett gazdasági mintázatok felismerésére.  </w:t>
      </w:r>
    </w:p>
    <w:p w14:paraId="69A7DAEA" w14:textId="77777777" w:rsidR="007B5453" w:rsidRPr="00397BFE" w:rsidRDefault="007B5453" w:rsidP="00015357">
      <w:pPr>
        <w:spacing w:after="120"/>
        <w:ind w:firstLine="0"/>
        <w:rPr>
          <w:rFonts w:cstheme="minorHAnsi"/>
          <w:szCs w:val="20"/>
        </w:rPr>
      </w:pPr>
      <w:r w:rsidRPr="00397BFE">
        <w:rPr>
          <w:rFonts w:cstheme="minorHAnsi"/>
          <w:szCs w:val="20"/>
        </w:rPr>
        <w:t xml:space="preserve">Az előadás során bemutatott tanulmány egy kvantumfizikai analógiákon alapuló innovatív keretrendszer mutat be, amely a homogenitás dinamikáját eloszlás-alapú, többállapotú megközelítésben vizsgálja. A módszer három központi fogalomra épül: szuperpozíciós modellezés, </w:t>
      </w:r>
      <w:proofErr w:type="spellStart"/>
      <w:r w:rsidRPr="00397BFE">
        <w:rPr>
          <w:rFonts w:cstheme="minorHAnsi"/>
          <w:szCs w:val="20"/>
        </w:rPr>
        <w:t>dekoherencia</w:t>
      </w:r>
      <w:proofErr w:type="spellEnd"/>
      <w:r w:rsidRPr="00397BFE">
        <w:rPr>
          <w:rFonts w:cstheme="minorHAnsi"/>
          <w:szCs w:val="20"/>
        </w:rPr>
        <w:t>-szimuláció és bifurkáció-detektálás, melyek</w:t>
      </w:r>
      <w:r>
        <w:rPr>
          <w:rFonts w:cstheme="minorHAnsi"/>
          <w:szCs w:val="20"/>
        </w:rPr>
        <w:t>et</w:t>
      </w:r>
      <w:r w:rsidRPr="00397BFE">
        <w:rPr>
          <w:rFonts w:cstheme="minorHAnsi"/>
          <w:szCs w:val="20"/>
        </w:rPr>
        <w:t xml:space="preserve"> már az önvezető autók technológiáiban is alkalmaznak.</w:t>
      </w:r>
      <w:r>
        <w:rPr>
          <w:rFonts w:cstheme="minorHAnsi"/>
          <w:szCs w:val="20"/>
        </w:rPr>
        <w:t xml:space="preserve"> </w:t>
      </w:r>
      <w:r w:rsidRPr="00397BFE">
        <w:rPr>
          <w:rFonts w:cstheme="minorHAnsi"/>
          <w:szCs w:val="20"/>
        </w:rPr>
        <w:t>A tanulmány empirikus alapját három MI-alapú homogenitásvizsgálat adja (EU Homogenitás, Mezőföld régió, Budapest és agglomerációja), melyek a COCO Y0 MI-modell módszertanra és az OAM struktúrára épülnek</w:t>
      </w:r>
      <w:r>
        <w:rPr>
          <w:rFonts w:cstheme="minorHAnsi"/>
          <w:szCs w:val="20"/>
        </w:rPr>
        <w:t xml:space="preserve">. Ezen kutatások eredményei </w:t>
      </w:r>
      <w:r w:rsidRPr="00397BFE">
        <w:rPr>
          <w:rFonts w:cstheme="minorHAnsi"/>
          <w:szCs w:val="20"/>
        </w:rPr>
        <w:t>szerint, a homogenitás alakulása nemlineáris, válságérzékeny és többállapotú.</w:t>
      </w:r>
    </w:p>
    <w:p w14:paraId="67862443" w14:textId="77777777" w:rsidR="007B5453" w:rsidRPr="00397BFE" w:rsidRDefault="007B5453" w:rsidP="00015357">
      <w:pPr>
        <w:spacing w:after="120"/>
        <w:ind w:firstLine="0"/>
        <w:rPr>
          <w:rFonts w:cstheme="minorHAnsi"/>
          <w:szCs w:val="20"/>
        </w:rPr>
      </w:pPr>
      <w:r w:rsidRPr="00397BFE">
        <w:rPr>
          <w:rFonts w:cstheme="minorHAnsi"/>
          <w:szCs w:val="20"/>
        </w:rPr>
        <w:t xml:space="preserve">A tanulmány célja egy tudományosan megalapozott, empirikusan </w:t>
      </w:r>
      <w:proofErr w:type="spellStart"/>
      <w:r w:rsidRPr="00397BFE">
        <w:rPr>
          <w:rFonts w:cstheme="minorHAnsi"/>
          <w:szCs w:val="20"/>
        </w:rPr>
        <w:t>validált</w:t>
      </w:r>
      <w:proofErr w:type="spellEnd"/>
      <w:r w:rsidRPr="00397BFE">
        <w:rPr>
          <w:rFonts w:cstheme="minorHAnsi"/>
          <w:szCs w:val="20"/>
        </w:rPr>
        <w:t xml:space="preserve"> eszköztár kialakítása, amely támogatja a fenntartható társadalmi-gazdasági stratégiák kidolgozását a 21. században.</w:t>
      </w:r>
    </w:p>
    <w:p w14:paraId="202A15B4" w14:textId="77777777" w:rsidR="007B5453" w:rsidRDefault="007B5453" w:rsidP="00015357">
      <w:pPr>
        <w:spacing w:after="120"/>
        <w:ind w:firstLine="0"/>
        <w:rPr>
          <w:rFonts w:cstheme="minorHAnsi"/>
          <w:szCs w:val="20"/>
        </w:rPr>
      </w:pPr>
      <w:r>
        <w:rPr>
          <w:rFonts w:cstheme="minorHAnsi"/>
          <w:szCs w:val="20"/>
        </w:rPr>
        <w:t xml:space="preserve">Kulcsszavak: </w:t>
      </w:r>
      <w:r w:rsidRPr="00DD1FFF">
        <w:rPr>
          <w:rFonts w:cstheme="minorHAnsi"/>
          <w:szCs w:val="20"/>
        </w:rPr>
        <w:t>kvantum-inspirált modellezés</w:t>
      </w:r>
      <w:r>
        <w:rPr>
          <w:rFonts w:cstheme="minorHAnsi"/>
          <w:szCs w:val="20"/>
        </w:rPr>
        <w:t xml:space="preserve">, </w:t>
      </w:r>
      <w:r w:rsidRPr="00DD1FFF">
        <w:rPr>
          <w:rFonts w:cstheme="minorHAnsi"/>
          <w:szCs w:val="20"/>
        </w:rPr>
        <w:t>homogenitás</w:t>
      </w:r>
      <w:r>
        <w:rPr>
          <w:rFonts w:cstheme="minorHAnsi"/>
          <w:szCs w:val="20"/>
        </w:rPr>
        <w:t xml:space="preserve">, </w:t>
      </w:r>
      <w:proofErr w:type="spellStart"/>
      <w:r w:rsidRPr="00DD1FFF">
        <w:rPr>
          <w:rFonts w:cstheme="minorHAnsi"/>
          <w:szCs w:val="20"/>
        </w:rPr>
        <w:t>dekoherencia</w:t>
      </w:r>
      <w:proofErr w:type="spellEnd"/>
      <w:r>
        <w:rPr>
          <w:rFonts w:cstheme="minorHAnsi"/>
          <w:szCs w:val="20"/>
        </w:rPr>
        <w:t xml:space="preserve">, </w:t>
      </w:r>
      <w:r w:rsidRPr="00DD1FFF">
        <w:rPr>
          <w:rFonts w:cstheme="minorHAnsi"/>
          <w:szCs w:val="20"/>
        </w:rPr>
        <w:t>bifurkáció-detektálás</w:t>
      </w:r>
      <w:r>
        <w:rPr>
          <w:rFonts w:cstheme="minorHAnsi"/>
          <w:szCs w:val="20"/>
        </w:rPr>
        <w:t xml:space="preserve">, </w:t>
      </w:r>
      <w:r w:rsidRPr="00DD1FFF">
        <w:rPr>
          <w:rFonts w:cstheme="minorHAnsi"/>
          <w:szCs w:val="20"/>
        </w:rPr>
        <w:t>COCO Y0</w:t>
      </w:r>
    </w:p>
    <w:p w14:paraId="098F5B6F" w14:textId="77777777" w:rsidR="007B5453" w:rsidRDefault="007B5453" w:rsidP="00015357">
      <w:pPr>
        <w:spacing w:after="120"/>
        <w:ind w:firstLine="0"/>
        <w:rPr>
          <w:rFonts w:cstheme="minorHAnsi"/>
          <w:szCs w:val="20"/>
        </w:rPr>
      </w:pPr>
      <w:r>
        <w:rPr>
          <w:rFonts w:cstheme="minorHAnsi"/>
          <w:szCs w:val="20"/>
        </w:rPr>
        <w:t>JEL: C63, C88, D63, O33, C15</w:t>
      </w:r>
    </w:p>
    <w:p w14:paraId="5BB357E9" w14:textId="77777777" w:rsidR="007B5453" w:rsidRPr="00CC351C" w:rsidRDefault="007B5453" w:rsidP="00015357">
      <w:pPr>
        <w:spacing w:after="120"/>
        <w:ind w:firstLine="0"/>
        <w:rPr>
          <w:rFonts w:cstheme="minorHAnsi"/>
          <w:szCs w:val="20"/>
          <w:lang w:val="en-GB"/>
        </w:rPr>
      </w:pPr>
      <w:r w:rsidRPr="00CC351C">
        <w:rPr>
          <w:rFonts w:cstheme="minorHAnsi"/>
          <w:b/>
          <w:bCs/>
          <w:szCs w:val="20"/>
          <w:lang w:val="en-GB"/>
        </w:rPr>
        <w:t>Abstract</w:t>
      </w:r>
    </w:p>
    <w:p w14:paraId="0A407464" w14:textId="77777777" w:rsidR="007B5453" w:rsidRPr="00C2760D" w:rsidRDefault="007B5453" w:rsidP="00015357">
      <w:pPr>
        <w:spacing w:after="120"/>
        <w:ind w:firstLine="0"/>
        <w:rPr>
          <w:rFonts w:cstheme="minorHAnsi"/>
          <w:szCs w:val="20"/>
          <w:lang w:val="en-GB"/>
        </w:rPr>
      </w:pPr>
      <w:r w:rsidRPr="00C2760D">
        <w:rPr>
          <w:rFonts w:cstheme="minorHAnsi"/>
          <w:szCs w:val="20"/>
          <w:lang w:val="en-GB"/>
        </w:rPr>
        <w:t xml:space="preserve">Traditional modelling methods have shown limited capacity to capture nonlinear processes during crisis, such as early warning signs of the 2008 financial crisis, COVID-19 supply chain </w:t>
      </w:r>
      <w:r w:rsidRPr="00C2760D">
        <w:rPr>
          <w:rFonts w:cstheme="minorHAnsi"/>
          <w:szCs w:val="20"/>
          <w:lang w:val="en-GB"/>
        </w:rPr>
        <w:lastRenderedPageBreak/>
        <w:t>shocks, or European inflationary divergences after 2022 energy crisis. This highlights the need for a modelling framework capable of identifying hidden economic patterns.</w:t>
      </w:r>
    </w:p>
    <w:p w14:paraId="65BDE5A3" w14:textId="77777777" w:rsidR="007B5453" w:rsidRPr="00C2760D" w:rsidRDefault="007B5453" w:rsidP="00015357">
      <w:pPr>
        <w:spacing w:after="120"/>
        <w:ind w:firstLine="0"/>
        <w:rPr>
          <w:rFonts w:cstheme="minorHAnsi"/>
          <w:szCs w:val="20"/>
          <w:lang w:val="en-GB"/>
        </w:rPr>
      </w:pPr>
      <w:r w:rsidRPr="00C2760D">
        <w:rPr>
          <w:rFonts w:cstheme="minorHAnsi"/>
          <w:szCs w:val="20"/>
          <w:lang w:val="en-GB"/>
        </w:rPr>
        <w:t>To address this, the study introduces an innovative modelling framework based on quantum-physical analogies that examines homogeneity dynamics through a distribution-based, multi-state approach. The methodology builds on three core concepts: superposition modelling, decoherence simulation, and bifurcation detection, techniques are already employed in autonomous vehicle.</w:t>
      </w:r>
    </w:p>
    <w:p w14:paraId="411F78BA" w14:textId="77777777" w:rsidR="007B5453" w:rsidRPr="00C2760D" w:rsidRDefault="007B5453" w:rsidP="00015357">
      <w:pPr>
        <w:spacing w:after="120"/>
        <w:ind w:firstLine="0"/>
        <w:rPr>
          <w:rFonts w:cstheme="minorHAnsi"/>
          <w:szCs w:val="20"/>
          <w:lang w:val="en-GB"/>
        </w:rPr>
      </w:pPr>
      <w:r w:rsidRPr="00C2760D">
        <w:rPr>
          <w:rFonts w:cstheme="minorHAnsi"/>
          <w:szCs w:val="20"/>
          <w:lang w:val="en-GB"/>
        </w:rPr>
        <w:t xml:space="preserve">The empirical foundation draws on three AI-based homogeneity researches conducted at different scales (i.e., EU Homogeneity, </w:t>
      </w:r>
      <w:proofErr w:type="spellStart"/>
      <w:r w:rsidRPr="00C2760D">
        <w:rPr>
          <w:rFonts w:cstheme="minorHAnsi"/>
          <w:szCs w:val="20"/>
          <w:lang w:val="en-GB"/>
        </w:rPr>
        <w:t>Mezőföld</w:t>
      </w:r>
      <w:proofErr w:type="spellEnd"/>
      <w:r w:rsidRPr="00C2760D">
        <w:rPr>
          <w:rFonts w:cstheme="minorHAnsi"/>
          <w:szCs w:val="20"/>
          <w:lang w:val="en-GB"/>
        </w:rPr>
        <w:t xml:space="preserve"> region, Budapest and its agglomeration), all relying on the COCO Y0 anti-discriminatory AI model methodology and the Object-Attribute-Matrix structure. Building on these findings, the study demonstrates that homogeneity evolves in a nonlinear, crisis-sensitive, and multi-state manner over time.</w:t>
      </w:r>
    </w:p>
    <w:p w14:paraId="6F676197" w14:textId="77777777" w:rsidR="007B5453" w:rsidRPr="00C2760D" w:rsidRDefault="007B5453" w:rsidP="00015357">
      <w:pPr>
        <w:spacing w:after="120"/>
        <w:ind w:firstLine="0"/>
        <w:rPr>
          <w:rFonts w:cstheme="minorHAnsi"/>
          <w:szCs w:val="20"/>
          <w:lang w:val="en-GB"/>
        </w:rPr>
      </w:pPr>
      <w:r w:rsidRPr="00C2760D">
        <w:rPr>
          <w:rFonts w:cstheme="minorHAnsi"/>
          <w:szCs w:val="20"/>
          <w:lang w:val="en-GB"/>
        </w:rPr>
        <w:t>The aim is to develop a scientifically grounded, empirically validated, and practically applicable toolkit supporting sustainable and adaptive socio-economic strategies for the 21st century.</w:t>
      </w:r>
    </w:p>
    <w:p w14:paraId="6C17DEE1" w14:textId="77777777" w:rsidR="007B5453" w:rsidRPr="00C2760D" w:rsidRDefault="007B5453" w:rsidP="00015357">
      <w:pPr>
        <w:spacing w:after="120"/>
        <w:ind w:firstLine="0"/>
        <w:rPr>
          <w:rFonts w:cstheme="minorHAnsi"/>
          <w:szCs w:val="20"/>
          <w:lang w:val="en-GB"/>
        </w:rPr>
      </w:pPr>
      <w:r w:rsidRPr="00C2760D">
        <w:rPr>
          <w:rFonts w:cstheme="minorHAnsi"/>
          <w:szCs w:val="20"/>
          <w:lang w:val="en-GB"/>
        </w:rPr>
        <w:t>Keywords: quantum-inspired modelling, homogeneity, decoherence, bifurcation detection, COCO Y0</w:t>
      </w:r>
    </w:p>
    <w:p w14:paraId="24592B97" w14:textId="4F2E5A94" w:rsidR="007B5453" w:rsidRPr="007B5453" w:rsidRDefault="007B5453" w:rsidP="00015357">
      <w:pPr>
        <w:spacing w:after="120"/>
        <w:ind w:firstLine="0"/>
        <w:rPr>
          <w:rFonts w:cstheme="minorHAnsi"/>
          <w:szCs w:val="20"/>
        </w:rPr>
      </w:pPr>
      <w:r w:rsidRPr="00397BFE">
        <w:rPr>
          <w:rFonts w:cstheme="minorHAnsi"/>
          <w:szCs w:val="20"/>
        </w:rPr>
        <w:t>JEL: C63, C88, D63, O33, C15</w:t>
      </w:r>
    </w:p>
    <w:p w14:paraId="29459442" w14:textId="77777777" w:rsidR="007B5453" w:rsidRDefault="007B5453">
      <w:pPr>
        <w:spacing w:after="160" w:line="278" w:lineRule="auto"/>
        <w:ind w:firstLine="0"/>
        <w:jc w:val="left"/>
        <w:rPr>
          <w:rFonts w:cs="Times New Roman"/>
          <w:b/>
          <w:kern w:val="0"/>
          <w:sz w:val="32"/>
          <w:szCs w:val="32"/>
          <w14:ligatures w14:val="none"/>
        </w:rPr>
      </w:pPr>
      <w:r>
        <w:br w:type="page"/>
      </w:r>
    </w:p>
    <w:p w14:paraId="07112EA6" w14:textId="0BE9F416" w:rsidR="00421BEE" w:rsidRPr="003E168A" w:rsidRDefault="00360A3B" w:rsidP="00E15FFF">
      <w:pPr>
        <w:pStyle w:val="EconomicaTitle1"/>
        <w:rPr>
          <w:lang w:val="hu-HU"/>
        </w:rPr>
      </w:pPr>
      <w:bookmarkStart w:id="1" w:name="_Toc215817676"/>
      <w:r w:rsidRPr="003E168A">
        <w:rPr>
          <w:lang w:val="hu-HU"/>
        </w:rPr>
        <w:lastRenderedPageBreak/>
        <w:t>Fogalomjegyzék</w:t>
      </w:r>
      <w:bookmarkEnd w:id="1"/>
    </w:p>
    <w:p w14:paraId="261BA8EB" w14:textId="77777777" w:rsidR="00E15FFF" w:rsidRPr="003E168A" w:rsidRDefault="00E15FFF" w:rsidP="00E15FFF"/>
    <w:p w14:paraId="1758C360" w14:textId="212D9680" w:rsidR="00421BEE" w:rsidRPr="003E168A" w:rsidRDefault="00DC0E20" w:rsidP="00DC0E20">
      <w:pPr>
        <w:ind w:firstLine="0"/>
      </w:pPr>
      <w:r w:rsidRPr="003E168A">
        <w:rPr>
          <w:b/>
          <w:bCs/>
        </w:rPr>
        <w:t>Szuperpozíció:</w:t>
      </w:r>
      <w:r w:rsidRPr="003E168A">
        <w:t xml:space="preserve"> </w:t>
      </w:r>
      <w:r w:rsidR="00D9767F" w:rsidRPr="00D9767F">
        <w:t>A kvantummechanikában a szuperpozíció azt jelenti, hogy egy rendszer</w:t>
      </w:r>
      <w:r w:rsidR="00D9767F">
        <w:t xml:space="preserve"> (esetünkben ország, régió, vagy város)</w:t>
      </w:r>
      <w:r w:rsidR="00D9767F" w:rsidRPr="00D9767F">
        <w:t xml:space="preserve"> állapota egyidejűleg több lehetséges állapot kombinációjaként írható le, amelyek közül a mérés során valószínűségi alapon</w:t>
      </w:r>
      <w:r w:rsidR="00D9767F">
        <w:t xml:space="preserve"> egy állapot</w:t>
      </w:r>
      <w:r w:rsidR="00D9767F" w:rsidRPr="00D9767F">
        <w:t xml:space="preserve"> realizálódik.</w:t>
      </w:r>
    </w:p>
    <w:p w14:paraId="756F5FDB" w14:textId="4AA5226D" w:rsidR="00DC0E20" w:rsidRPr="003E168A" w:rsidRDefault="00DC0E20" w:rsidP="00DC0E20">
      <w:pPr>
        <w:ind w:firstLine="0"/>
      </w:pPr>
      <w:proofErr w:type="spellStart"/>
      <w:r w:rsidRPr="003E168A">
        <w:rPr>
          <w:b/>
          <w:bCs/>
        </w:rPr>
        <w:t>Dekoherencia</w:t>
      </w:r>
      <w:proofErr w:type="spellEnd"/>
      <w:r w:rsidRPr="003E168A">
        <w:rPr>
          <w:b/>
          <w:bCs/>
        </w:rPr>
        <w:t>:</w:t>
      </w:r>
      <w:r w:rsidRPr="003E168A">
        <w:t xml:space="preserve"> A kvantummechanikában a </w:t>
      </w:r>
      <w:proofErr w:type="spellStart"/>
      <w:r w:rsidRPr="003E168A">
        <w:t>dekoherencia</w:t>
      </w:r>
      <w:proofErr w:type="spellEnd"/>
      <w:r w:rsidRPr="003E168A">
        <w:t xml:space="preserve"> azt jelenti, hogy egy koherens állapot külső zavarok hatására széthullik és különálló komponensekre esik szét. Társadalmi-gazdasági kontextusban ez azt jelenti, hogy a korábban egységes gazdasági állapotok válságok hatására felbomlanak.</w:t>
      </w:r>
    </w:p>
    <w:p w14:paraId="72A1A057" w14:textId="01F2F278" w:rsidR="00DC0E20" w:rsidRPr="003E168A" w:rsidRDefault="00DC0E20" w:rsidP="00DC0E20">
      <w:pPr>
        <w:ind w:firstLine="0"/>
      </w:pPr>
      <w:r w:rsidRPr="003E168A">
        <w:rPr>
          <w:b/>
          <w:bCs/>
        </w:rPr>
        <w:t>Bifurkáció:</w:t>
      </w:r>
      <w:r w:rsidRPr="003E168A">
        <w:t xml:space="preserve"> A komplex rendszerek bifurkációs pontjai olyan kritikus helyzetek, ahol kis változások hirtelen, nagy hatásokat válthatnak ki, és a rendszer új pályára áll. </w:t>
      </w:r>
      <w:proofErr w:type="spellStart"/>
      <w:r w:rsidRPr="003E168A">
        <w:t>Scheffer</w:t>
      </w:r>
      <w:proofErr w:type="spellEnd"/>
      <w:r w:rsidRPr="003E168A">
        <w:t xml:space="preserve"> (2009) és </w:t>
      </w:r>
      <w:proofErr w:type="spellStart"/>
      <w:r w:rsidRPr="003E168A">
        <w:t>Kuehn</w:t>
      </w:r>
      <w:proofErr w:type="spellEnd"/>
      <w:r w:rsidRPr="003E168A">
        <w:t xml:space="preserve"> (2011) kutatásai szerint a bifurkációk közelében a rendszer jellegzetes figyelmeztető jeleket mutat.</w:t>
      </w:r>
    </w:p>
    <w:p w14:paraId="000466EE" w14:textId="77777777" w:rsidR="00D9767F" w:rsidRDefault="00FC6938" w:rsidP="00DC0E20">
      <w:pPr>
        <w:ind w:firstLine="0"/>
      </w:pPr>
      <w:r w:rsidRPr="003E168A">
        <w:rPr>
          <w:b/>
          <w:bCs/>
        </w:rPr>
        <w:t>OAM:</w:t>
      </w:r>
      <w:r w:rsidRPr="003E168A">
        <w:t xml:space="preserve"> </w:t>
      </w:r>
      <w:r w:rsidR="00D9767F" w:rsidRPr="00D9767F">
        <w:t>Objektum-Attribútum Mátrix, ahol az objektumok az adatvagyon sorait, az attribútumok pedig az adatvagyon oszlopait adják.</w:t>
      </w:r>
    </w:p>
    <w:p w14:paraId="5BA100A6" w14:textId="6CD69AFA" w:rsidR="00DC0E20" w:rsidRDefault="00DC0E20" w:rsidP="00DC0E20">
      <w:pPr>
        <w:ind w:firstLine="0"/>
      </w:pPr>
      <w:r w:rsidRPr="003E168A">
        <w:rPr>
          <w:b/>
          <w:bCs/>
        </w:rPr>
        <w:t>COCO Y0:</w:t>
      </w:r>
      <w:r w:rsidRPr="003E168A">
        <w:t xml:space="preserve"> </w:t>
      </w:r>
      <w:r w:rsidR="006C6F34">
        <w:t>E</w:t>
      </w:r>
      <w:r w:rsidR="00CE5BA4" w:rsidRPr="003E168A">
        <w:t xml:space="preserve">gy </w:t>
      </w:r>
      <w:proofErr w:type="spellStart"/>
      <w:r w:rsidR="00CE5BA4" w:rsidRPr="003E168A">
        <w:t>antidiszkriminatív</w:t>
      </w:r>
      <w:proofErr w:type="spellEnd"/>
      <w:r w:rsidR="00CE5BA4" w:rsidRPr="003E168A">
        <w:t xml:space="preserve">, mesterséges intelligencia alapú módszer, amely egy monoton Y-vektort szimulál. Az eljárás lényege, hogy az Objektum-Attribútum-Mátrix (OAM) struktúrában képes objektív módon aggregálni a többdimenziós adatokat, azonosítani </w:t>
      </w:r>
      <w:proofErr w:type="spellStart"/>
      <w:r w:rsidR="00CE5BA4" w:rsidRPr="003E168A">
        <w:t>statisztikailag</w:t>
      </w:r>
      <w:proofErr w:type="spellEnd"/>
      <w:r w:rsidR="00CE5BA4" w:rsidRPr="003E168A">
        <w:t xml:space="preserve"> szignifikáns </w:t>
      </w:r>
      <w:proofErr w:type="spellStart"/>
      <w:r w:rsidR="00CE5BA4" w:rsidRPr="003E168A">
        <w:t>mintázatokat</w:t>
      </w:r>
      <w:proofErr w:type="spellEnd"/>
      <w:r w:rsidR="00CE5BA4" w:rsidRPr="003E168A">
        <w:t xml:space="preserve"> és homogenitást mérni anélkül, hogy előzetes feltételezéseket igényelne a homogenitás szerkezetéről.</w:t>
      </w:r>
    </w:p>
    <w:p w14:paraId="5DEE73F5" w14:textId="163BB1C0" w:rsidR="00617FAC" w:rsidRDefault="00617FAC" w:rsidP="00DC0E20">
      <w:pPr>
        <w:ind w:firstLine="0"/>
      </w:pPr>
    </w:p>
    <w:p w14:paraId="0B1EC8ED" w14:textId="77777777" w:rsidR="00617FAC" w:rsidRDefault="00617FAC">
      <w:pPr>
        <w:spacing w:after="160" w:line="278" w:lineRule="auto"/>
        <w:ind w:firstLine="0"/>
        <w:jc w:val="left"/>
      </w:pPr>
      <w:r>
        <w:br w:type="page"/>
      </w:r>
    </w:p>
    <w:p w14:paraId="738D7E85" w14:textId="5EB3836C" w:rsidR="00617FAC" w:rsidRDefault="00617FAC" w:rsidP="00617FAC">
      <w:pPr>
        <w:pStyle w:val="EconomicaTitle1"/>
        <w:rPr>
          <w:lang w:val="hu-HU"/>
        </w:rPr>
      </w:pPr>
      <w:bookmarkStart w:id="2" w:name="_Toc215817677"/>
      <w:r w:rsidRPr="00617FAC">
        <w:rPr>
          <w:lang w:val="hu-HU"/>
        </w:rPr>
        <w:lastRenderedPageBreak/>
        <w:t>Ábrajegyzék</w:t>
      </w:r>
      <w:bookmarkEnd w:id="2"/>
    </w:p>
    <w:p w14:paraId="3BFFDECD" w14:textId="77777777" w:rsidR="00617FAC" w:rsidRPr="00617FAC" w:rsidRDefault="00617FAC" w:rsidP="00617FAC"/>
    <w:p w14:paraId="23556DE9" w14:textId="71918E7D" w:rsidR="00617FAC" w:rsidRDefault="00617FAC">
      <w:pPr>
        <w:pStyle w:val="brajegyzk"/>
        <w:tabs>
          <w:tab w:val="right" w:leader="dot" w:pos="9060"/>
        </w:tabs>
        <w:rPr>
          <w:rFonts w:asciiTheme="minorHAnsi" w:eastAsiaTheme="minorEastAsia" w:hAnsiTheme="minorHAnsi"/>
          <w:noProof/>
          <w:lang w:eastAsia="hu-HU"/>
        </w:rPr>
      </w:pPr>
      <w:r>
        <w:fldChar w:fldCharType="begin"/>
      </w:r>
      <w:r>
        <w:instrText xml:space="preserve"> TOC \h \z \c "ábra" </w:instrText>
      </w:r>
      <w:r>
        <w:fldChar w:fldCharType="separate"/>
      </w:r>
      <w:hyperlink w:anchor="_Toc212910263" w:history="1">
        <w:r w:rsidRPr="00C55411">
          <w:rPr>
            <w:rStyle w:val="Hiperhivatkozs"/>
            <w:noProof/>
          </w:rPr>
          <w:t>1. ábra: Az Európai Homogenitás indexek átlaga, Forrás: Váradi Dániel, Az EU monitoring rendszerének</w:t>
        </w:r>
        <w:r>
          <w:rPr>
            <w:noProof/>
            <w:webHidden/>
          </w:rPr>
          <w:tab/>
        </w:r>
        <w:r>
          <w:rPr>
            <w:noProof/>
            <w:webHidden/>
          </w:rPr>
          <w:fldChar w:fldCharType="begin"/>
        </w:r>
        <w:r>
          <w:rPr>
            <w:noProof/>
            <w:webHidden/>
          </w:rPr>
          <w:instrText xml:space="preserve"> PAGEREF _Toc212910263 \h </w:instrText>
        </w:r>
        <w:r>
          <w:rPr>
            <w:noProof/>
            <w:webHidden/>
          </w:rPr>
        </w:r>
        <w:r>
          <w:rPr>
            <w:noProof/>
            <w:webHidden/>
          </w:rPr>
          <w:fldChar w:fldCharType="separate"/>
        </w:r>
        <w:r>
          <w:rPr>
            <w:noProof/>
            <w:webHidden/>
          </w:rPr>
          <w:t>8</w:t>
        </w:r>
        <w:r>
          <w:rPr>
            <w:noProof/>
            <w:webHidden/>
          </w:rPr>
          <w:fldChar w:fldCharType="end"/>
        </w:r>
      </w:hyperlink>
    </w:p>
    <w:p w14:paraId="1F6648A8" w14:textId="3E5F37C0" w:rsidR="00617FAC" w:rsidRDefault="00617FAC">
      <w:pPr>
        <w:pStyle w:val="brajegyzk"/>
        <w:tabs>
          <w:tab w:val="right" w:leader="dot" w:pos="9060"/>
        </w:tabs>
        <w:rPr>
          <w:rFonts w:asciiTheme="minorHAnsi" w:eastAsiaTheme="minorEastAsia" w:hAnsiTheme="minorHAnsi"/>
          <w:noProof/>
          <w:lang w:eastAsia="hu-HU"/>
        </w:rPr>
      </w:pPr>
      <w:hyperlink w:anchor="_Toc212910264" w:history="1">
        <w:r w:rsidRPr="00C55411">
          <w:rPr>
            <w:rStyle w:val="Hiperhivatkozs"/>
            <w:noProof/>
          </w:rPr>
          <w:t>2. ábra: Organikus fejlődéssel és vákuum hatással jellemezhető területek Budapest és az agglomeráció tekintetében, Forrás: Váradi Dániel, MSc. Szakdolgozat, Mértékegység: dimenzió nélküli indexszám</w:t>
        </w:r>
        <w:r>
          <w:rPr>
            <w:noProof/>
            <w:webHidden/>
          </w:rPr>
          <w:tab/>
        </w:r>
        <w:r>
          <w:rPr>
            <w:noProof/>
            <w:webHidden/>
          </w:rPr>
          <w:fldChar w:fldCharType="begin"/>
        </w:r>
        <w:r>
          <w:rPr>
            <w:noProof/>
            <w:webHidden/>
          </w:rPr>
          <w:instrText xml:space="preserve"> PAGEREF _Toc212910264 \h </w:instrText>
        </w:r>
        <w:r>
          <w:rPr>
            <w:noProof/>
            <w:webHidden/>
          </w:rPr>
        </w:r>
        <w:r>
          <w:rPr>
            <w:noProof/>
            <w:webHidden/>
          </w:rPr>
          <w:fldChar w:fldCharType="separate"/>
        </w:r>
        <w:r>
          <w:rPr>
            <w:noProof/>
            <w:webHidden/>
          </w:rPr>
          <w:t>9</w:t>
        </w:r>
        <w:r>
          <w:rPr>
            <w:noProof/>
            <w:webHidden/>
          </w:rPr>
          <w:fldChar w:fldCharType="end"/>
        </w:r>
      </w:hyperlink>
    </w:p>
    <w:p w14:paraId="56895D14" w14:textId="31FE13AC" w:rsidR="00421BEE" w:rsidRPr="003E168A" w:rsidRDefault="00617FAC">
      <w:pPr>
        <w:spacing w:line="278" w:lineRule="auto"/>
        <w:ind w:firstLine="0"/>
        <w:jc w:val="left"/>
      </w:pPr>
      <w:r>
        <w:fldChar w:fldCharType="end"/>
      </w:r>
    </w:p>
    <w:p w14:paraId="78BCECDE" w14:textId="434C05DA" w:rsidR="00421BEE" w:rsidRPr="003E168A" w:rsidRDefault="00421BEE">
      <w:pPr>
        <w:spacing w:line="278" w:lineRule="auto"/>
        <w:ind w:firstLine="0"/>
        <w:jc w:val="left"/>
        <w:rPr>
          <w:rFonts w:eastAsiaTheme="majorEastAsia" w:cstheme="majorBidi"/>
          <w:b/>
          <w:sz w:val="32"/>
          <w:szCs w:val="40"/>
        </w:rPr>
      </w:pPr>
      <w:r w:rsidRPr="003E168A">
        <w:br w:type="page"/>
      </w:r>
    </w:p>
    <w:p w14:paraId="1837E5D2" w14:textId="77777777" w:rsidR="00A40917" w:rsidRPr="003E168A" w:rsidRDefault="00A40917" w:rsidP="00A40917">
      <w:pPr>
        <w:pStyle w:val="fejezet1"/>
        <w:rPr>
          <w:lang w:val="hu-HU"/>
        </w:rPr>
      </w:pPr>
      <w:bookmarkStart w:id="3" w:name="_Toc215817678"/>
      <w:r w:rsidRPr="003E168A">
        <w:rPr>
          <w:lang w:val="hu-HU"/>
        </w:rPr>
        <w:lastRenderedPageBreak/>
        <w:t>Bevezetés</w:t>
      </w:r>
      <w:bookmarkEnd w:id="3"/>
    </w:p>
    <w:p w14:paraId="41322951" w14:textId="713E2541" w:rsidR="00C55FDA" w:rsidRDefault="00C55FDA" w:rsidP="00CE0D1C">
      <w:r w:rsidRPr="003E168A">
        <w:t>Az elmúlt évtized válságai új kérdéseket vetettek fel a társadalmi egyenlőtlenségek vizsgálatában. A</w:t>
      </w:r>
      <w:r w:rsidR="004E11B5">
        <w:t xml:space="preserve">z elmúlt évtizedek válságai nem csak </w:t>
      </w:r>
      <w:r w:rsidR="00FF32EA">
        <w:t>gazdasági</w:t>
      </w:r>
      <w:r w:rsidRPr="003E168A">
        <w:t xml:space="preserve"> sokkokat okoz</w:t>
      </w:r>
      <w:r w:rsidR="00866383">
        <w:t>tak</w:t>
      </w:r>
      <w:r w:rsidRPr="003E168A">
        <w:t>, hanem rámutat</w:t>
      </w:r>
      <w:r w:rsidR="00FF32EA">
        <w:t>tak</w:t>
      </w:r>
      <w:r w:rsidRPr="003E168A">
        <w:t xml:space="preserve"> arra is, hogy az eddig megszokott közgazdasági modellek</w:t>
      </w:r>
      <w:r w:rsidR="004E11B5">
        <w:t xml:space="preserve"> csak</w:t>
      </w:r>
      <w:r w:rsidRPr="003E168A">
        <w:t xml:space="preserve"> korlátozottan képesek </w:t>
      </w:r>
      <w:proofErr w:type="spellStart"/>
      <w:r w:rsidRPr="003E168A">
        <w:t>előrejelezni</w:t>
      </w:r>
      <w:proofErr w:type="spellEnd"/>
      <w:r w:rsidRPr="003E168A">
        <w:t xml:space="preserve"> és magyarázni a </w:t>
      </w:r>
      <w:r w:rsidR="00830997">
        <w:t>gazdasági</w:t>
      </w:r>
      <w:r w:rsidRPr="003E168A">
        <w:t xml:space="preserve"> dinamikákat</w:t>
      </w:r>
      <w:r w:rsidR="004E11B5">
        <w:t>.</w:t>
      </w:r>
    </w:p>
    <w:p w14:paraId="629DA3F5" w14:textId="2A24B511" w:rsidR="0054235C" w:rsidRDefault="004E11B5" w:rsidP="00CE0D1C">
      <w:r>
        <w:t xml:space="preserve">A fentiekre egy különösen jó példa a 2022-ben kialakult energiapiaci krízis, melynek hatására az európai unió tagállamai között példátlan mértékű – akár tíz százalékpontnyi –  inflációsráta eltérések alakultak ki. </w:t>
      </w:r>
      <w:r w:rsidR="001C1AF6">
        <w:t xml:space="preserve">Így már önmagában megkérdőjelezhető az az </w:t>
      </w:r>
      <w:r>
        <w:t>EU által szorgalmazott feltevést, hogy az egységes monetáris politika</w:t>
      </w:r>
      <w:r w:rsidR="001C1AF6">
        <w:t xml:space="preserve"> egységes, homogenizáló gazdasági pályákat eredményez a tagállamok közt</w:t>
      </w:r>
      <w:r w:rsidR="00C55FDA" w:rsidRPr="003E168A">
        <w:t xml:space="preserve"> (ECB, 2024b; European </w:t>
      </w:r>
      <w:proofErr w:type="spellStart"/>
      <w:r w:rsidR="00C55FDA" w:rsidRPr="003E168A">
        <w:t>Parliament</w:t>
      </w:r>
      <w:proofErr w:type="spellEnd"/>
      <w:r w:rsidR="00C55FDA" w:rsidRPr="003E168A">
        <w:t>, 2022; IMF, 2023).</w:t>
      </w:r>
      <w:r w:rsidR="00CF17AF">
        <w:t xml:space="preserve"> Ez alapján elmondható tehát, hogy eddig alkalmazott hagyományos, egyensúly-központú gazdasági előre jelző rendszerek nem kezelik kellő hatékonysággal a gazdasági sokkhelyzetek során fellépő nemlineáris gazdasági és társadalmi folyamatokat. Ezzel a kérdéskörrel már számos neves közgazdász is foglalkozott. </w:t>
      </w:r>
      <w:proofErr w:type="spellStart"/>
      <w:r w:rsidR="00C55FDA" w:rsidRPr="003E168A">
        <w:t>Atkinson</w:t>
      </w:r>
      <w:proofErr w:type="spellEnd"/>
      <w:r w:rsidR="00C55FDA" w:rsidRPr="003E168A">
        <w:t xml:space="preserve"> és </w:t>
      </w:r>
      <w:proofErr w:type="spellStart"/>
      <w:r w:rsidR="00C55FDA" w:rsidRPr="003E168A">
        <w:t>Morelli</w:t>
      </w:r>
      <w:proofErr w:type="spellEnd"/>
      <w:r w:rsidR="00C55FDA" w:rsidRPr="003E168A">
        <w:t xml:space="preserve"> </w:t>
      </w:r>
      <w:r w:rsidR="00631E4D" w:rsidRPr="003E168A">
        <w:t>kutatásai</w:t>
      </w:r>
      <w:r w:rsidR="00CF17AF">
        <w:t xml:space="preserve"> például </w:t>
      </w:r>
      <w:r w:rsidR="00C55FDA" w:rsidRPr="003E168A">
        <w:t>rámutattak</w:t>
      </w:r>
      <w:r w:rsidR="00631E4D" w:rsidRPr="003E168A">
        <w:t xml:space="preserve"> arra, hogy</w:t>
      </w:r>
      <w:r w:rsidR="00C55FDA" w:rsidRPr="003E168A">
        <w:t xml:space="preserve"> a szokásos egyenlőtlenségi mutatók nem mindig </w:t>
      </w:r>
      <w:r w:rsidR="00631E4D" w:rsidRPr="003E168A">
        <w:t>mutatják</w:t>
      </w:r>
      <w:r w:rsidR="00C55FDA" w:rsidRPr="003E168A">
        <w:t xml:space="preserve"> meg a </w:t>
      </w:r>
      <w:r w:rsidR="00631E4D" w:rsidRPr="003E168A">
        <w:t>rejtett</w:t>
      </w:r>
      <w:r w:rsidR="00C55FDA" w:rsidRPr="003E168A">
        <w:t xml:space="preserve"> mechanizmusokat, míg </w:t>
      </w:r>
      <w:proofErr w:type="spellStart"/>
      <w:r w:rsidR="00C55FDA" w:rsidRPr="003E168A">
        <w:t>Milanovic</w:t>
      </w:r>
      <w:proofErr w:type="spellEnd"/>
      <w:r w:rsidR="00C55FDA" w:rsidRPr="003E168A">
        <w:t xml:space="preserve"> történeti áttekintése szerint a konvergencia–divergencia váltakozása jóval összetettebb</w:t>
      </w:r>
      <w:r w:rsidR="00631E4D" w:rsidRPr="003E168A">
        <w:t>ek</w:t>
      </w:r>
      <w:r w:rsidR="00C55FDA" w:rsidRPr="003E168A">
        <w:t>, mint amit determinisztikus modellek feltételeznek (</w:t>
      </w:r>
      <w:proofErr w:type="spellStart"/>
      <w:r w:rsidR="00C55FDA" w:rsidRPr="003E168A">
        <w:t>Atkinson</w:t>
      </w:r>
      <w:proofErr w:type="spellEnd"/>
      <w:r w:rsidR="00C55FDA" w:rsidRPr="003E168A">
        <w:t xml:space="preserve"> &amp; </w:t>
      </w:r>
      <w:proofErr w:type="spellStart"/>
      <w:r w:rsidR="00C55FDA" w:rsidRPr="003E168A">
        <w:t>Morelli</w:t>
      </w:r>
      <w:proofErr w:type="spellEnd"/>
      <w:r w:rsidR="00C55FDA" w:rsidRPr="003E168A">
        <w:t xml:space="preserve">, 2014, 2015; </w:t>
      </w:r>
      <w:proofErr w:type="spellStart"/>
      <w:r w:rsidR="00C55FDA" w:rsidRPr="003E168A">
        <w:t>Milanovic</w:t>
      </w:r>
      <w:proofErr w:type="spellEnd"/>
      <w:r w:rsidR="00C55FDA" w:rsidRPr="003E168A">
        <w:t>, 2016).</w:t>
      </w:r>
      <w:r w:rsidR="0054235C">
        <w:t xml:space="preserve"> </w:t>
      </w:r>
      <w:r w:rsidR="00423C56">
        <w:t>Emiatt</w:t>
      </w:r>
      <w:r w:rsidR="00191460" w:rsidRPr="003E168A">
        <w:t xml:space="preserve"> a</w:t>
      </w:r>
      <w:r w:rsidR="006C29A9">
        <w:t>z alternatív</w:t>
      </w:r>
      <w:r w:rsidR="00191460" w:rsidRPr="003E168A">
        <w:t>-közgazdaságtan képviselői más szemléletet javasolnak. Szerintük a gazdaságot nem állandó egyensúlyi helyzetként kell elképzelni, hanem egy olya</w:t>
      </w:r>
      <w:r w:rsidR="00830997">
        <w:t>n</w:t>
      </w:r>
      <w:r w:rsidR="00191460" w:rsidRPr="003E168A">
        <w:t xml:space="preserve"> folyamatosan változó</w:t>
      </w:r>
      <w:r w:rsidR="00CF17AF">
        <w:t xml:space="preserve"> komplex</w:t>
      </w:r>
      <w:r w:rsidR="00191460" w:rsidRPr="003E168A">
        <w:t xml:space="preserve"> rendszerként, ahol a szereplők tanulnak</w:t>
      </w:r>
      <w:r w:rsidR="00830997">
        <w:t xml:space="preserve"> egymástól</w:t>
      </w:r>
      <w:r w:rsidR="00191460" w:rsidRPr="003E168A">
        <w:t xml:space="preserve"> és alkalmazkodnak egymáshoz.</w:t>
      </w:r>
      <w:r w:rsidR="00CF17AF">
        <w:t xml:space="preserve"> Feltételezéseik szerint az ilyen </w:t>
      </w:r>
      <w:r w:rsidR="00191460" w:rsidRPr="003E168A">
        <w:t>megközelítés</w:t>
      </w:r>
      <w:r w:rsidR="00CF17AF">
        <w:t>ek</w:t>
      </w:r>
      <w:r w:rsidR="00191460" w:rsidRPr="003E168A">
        <w:t xml:space="preserve"> </w:t>
      </w:r>
      <w:r w:rsidR="00CF17AF">
        <w:t>valósabb</w:t>
      </w:r>
      <w:r w:rsidR="00191460" w:rsidRPr="003E168A">
        <w:t xml:space="preserve"> képet adhat</w:t>
      </w:r>
      <w:r w:rsidR="00CF17AF">
        <w:t>nak</w:t>
      </w:r>
      <w:r w:rsidR="00191460" w:rsidRPr="003E168A">
        <w:t>, hagyományos modellek egyszerűsített feltevései</w:t>
      </w:r>
      <w:r w:rsidR="00830997">
        <w:t>vel szemben</w:t>
      </w:r>
      <w:r w:rsidR="00191460" w:rsidRPr="003E168A">
        <w:t xml:space="preserve"> (Arthur, 1999, 2021; Farmer &amp; </w:t>
      </w:r>
      <w:proofErr w:type="spellStart"/>
      <w:r w:rsidR="00191460" w:rsidRPr="003E168A">
        <w:t>Geanakoplos</w:t>
      </w:r>
      <w:proofErr w:type="spellEnd"/>
      <w:r w:rsidR="00191460" w:rsidRPr="003E168A">
        <w:t xml:space="preserve">, 2009; </w:t>
      </w:r>
      <w:proofErr w:type="spellStart"/>
      <w:r w:rsidR="00191460" w:rsidRPr="003E168A">
        <w:t>Rodrik</w:t>
      </w:r>
      <w:proofErr w:type="spellEnd"/>
      <w:r w:rsidR="00191460" w:rsidRPr="003E168A">
        <w:t>, 2015).</w:t>
      </w:r>
      <w:r w:rsidR="000C0685">
        <w:t xml:space="preserve"> </w:t>
      </w:r>
    </w:p>
    <w:p w14:paraId="43F968B3" w14:textId="697ED86E" w:rsidR="00191460" w:rsidRPr="003E168A" w:rsidRDefault="00830997" w:rsidP="00CE0D1C">
      <w:r>
        <w:t xml:space="preserve">Ha azonban </w:t>
      </w:r>
      <w:r w:rsidR="0054235C">
        <w:t>elhagyjuk a gazdasági modellek világát, és egy pillantást vetünk a technológia irányába, észrevehető</w:t>
      </w:r>
      <w:r w:rsidR="00423C56">
        <w:t xml:space="preserve">, hogy a modern technológiai eszközökben már alkalmazzák azokat a modellezési technikákat, melyek folyamatosan változó </w:t>
      </w:r>
      <w:r w:rsidR="00477EBB">
        <w:t>komplex</w:t>
      </w:r>
      <w:r w:rsidR="00423C56">
        <w:t xml:space="preserve"> rendszereket képesek modellezni.</w:t>
      </w:r>
      <w:r w:rsidR="00EE5624">
        <w:t xml:space="preserve"> </w:t>
      </w:r>
      <w:r w:rsidR="00EE5624" w:rsidRPr="00EE5624">
        <w:t xml:space="preserve">A QM </w:t>
      </w:r>
      <w:proofErr w:type="spellStart"/>
      <w:r w:rsidR="00EE5624" w:rsidRPr="00EE5624">
        <w:t>Ware</w:t>
      </w:r>
      <w:proofErr w:type="spellEnd"/>
      <w:r w:rsidR="00EE5624" w:rsidRPr="00EE5624">
        <w:t xml:space="preserve"> (2024) tanulmánya szerint a jövőbeli önvezető járművek fejlett irányítási rendszerei potenciálisan alkalmazhatnak kvantum-inspirált optimalizációs eljárásokat, amelyek lehetővé teszik több párhuzamos szcenárió </w:t>
      </w:r>
      <w:r w:rsidR="00EE5624">
        <w:t>egyidejű kezelését</w:t>
      </w:r>
      <w:r w:rsidR="00EE5624" w:rsidRPr="00EE5624">
        <w:t xml:space="preserve">. Habár ez jelenleg még kísérleti fázisban van, az </w:t>
      </w:r>
      <w:r w:rsidR="00EE5624">
        <w:t>módszertan</w:t>
      </w:r>
      <w:r w:rsidR="00EE5624" w:rsidRPr="00EE5624">
        <w:t xml:space="preserve"> – miszerint egy rendszer egyszerre több lehetséges állapotot </w:t>
      </w:r>
      <w:r w:rsidR="00EE5624">
        <w:t>elemez</w:t>
      </w:r>
      <w:r w:rsidR="00EE5624" w:rsidRPr="00EE5624">
        <w:t xml:space="preserve"> párhuzamosan – analógiaként szolgálhat a társadalmi-gazdasági homogenitás modellezéséhez is.</w:t>
      </w:r>
    </w:p>
    <w:p w14:paraId="2A1A99C5" w14:textId="6BBDD4F8" w:rsidR="00D9767F" w:rsidRDefault="00191460" w:rsidP="00D9767F">
      <w:r w:rsidRPr="003E168A">
        <w:lastRenderedPageBreak/>
        <w:t>Ebből a gondolatmenetből kiindulva született meg a kvantumfizikai analógiák alkalmazásának ötlete</w:t>
      </w:r>
      <w:r w:rsidR="000C0685">
        <w:t xml:space="preserve"> a társadalmi-gazdasági homogenitás modellezésében</w:t>
      </w:r>
      <w:r w:rsidRPr="003E168A">
        <w:t xml:space="preserve"> is. A kvantummechanika olyan matematikai eszközöket kínál, mint például a szuperpozíció, a </w:t>
      </w:r>
      <w:proofErr w:type="spellStart"/>
      <w:r w:rsidRPr="003E168A">
        <w:t>dekoherencia</w:t>
      </w:r>
      <w:proofErr w:type="spellEnd"/>
      <w:r w:rsidRPr="003E168A">
        <w:t xml:space="preserve"> és a bifurkáció, amelyek segíthetnek jobban leírni a társadalmi-gazdasági rendszerek összetett, valószínűségi természetét.</w:t>
      </w:r>
      <w:r w:rsidR="00656620">
        <w:t xml:space="preserve"> Az ötletet </w:t>
      </w:r>
      <w:proofErr w:type="spellStart"/>
      <w:r w:rsidR="00656620" w:rsidRPr="003E168A">
        <w:t>Haven</w:t>
      </w:r>
      <w:proofErr w:type="spellEnd"/>
      <w:r w:rsidR="00656620" w:rsidRPr="003E168A">
        <w:t xml:space="preserve">, </w:t>
      </w:r>
      <w:proofErr w:type="spellStart"/>
      <w:r w:rsidR="00656620" w:rsidRPr="003E168A">
        <w:t>Khrennikov</w:t>
      </w:r>
      <w:proofErr w:type="spellEnd"/>
      <w:r w:rsidR="00656620" w:rsidRPr="003E168A">
        <w:t xml:space="preserve">, </w:t>
      </w:r>
      <w:proofErr w:type="spellStart"/>
      <w:r w:rsidR="00656620" w:rsidRPr="003E168A">
        <w:t>Busemeyer</w:t>
      </w:r>
      <w:proofErr w:type="spellEnd"/>
      <w:r w:rsidR="00656620" w:rsidRPr="003E168A">
        <w:t xml:space="preserve">, </w:t>
      </w:r>
      <w:proofErr w:type="spellStart"/>
      <w:r w:rsidR="00656620" w:rsidRPr="003E168A">
        <w:t>Bruza</w:t>
      </w:r>
      <w:proofErr w:type="spellEnd"/>
      <w:r w:rsidR="00656620" w:rsidRPr="003E168A">
        <w:t xml:space="preserve"> és </w:t>
      </w:r>
      <w:proofErr w:type="spellStart"/>
      <w:r w:rsidR="00656620" w:rsidRPr="003E168A">
        <w:t>Orrell</w:t>
      </w:r>
      <w:proofErr w:type="spellEnd"/>
      <w:r w:rsidR="00656620" w:rsidRPr="003E168A">
        <w:t xml:space="preserve"> munkái</w:t>
      </w:r>
      <w:r w:rsidR="00656620">
        <w:t xml:space="preserve"> is alátámasztják, hiszen hosszasan értekeznek arról, hogy a </w:t>
      </w:r>
      <w:r w:rsidR="00656620" w:rsidRPr="003E168A">
        <w:t>kvantummechanika matematikai eszköztára sikeresen alkalmazható nem fizikai jelenségek vizsgálatára is (</w:t>
      </w:r>
      <w:proofErr w:type="spellStart"/>
      <w:r w:rsidR="00656620" w:rsidRPr="003E168A">
        <w:t>Scheffer</w:t>
      </w:r>
      <w:proofErr w:type="spellEnd"/>
      <w:r w:rsidR="00656620" w:rsidRPr="003E168A">
        <w:t xml:space="preserve">, 2009; </w:t>
      </w:r>
      <w:proofErr w:type="spellStart"/>
      <w:r w:rsidR="00656620" w:rsidRPr="003E168A">
        <w:t>Kuehn</w:t>
      </w:r>
      <w:proofErr w:type="spellEnd"/>
      <w:r w:rsidR="00656620" w:rsidRPr="003E168A">
        <w:t xml:space="preserve">, 2011; </w:t>
      </w:r>
      <w:proofErr w:type="spellStart"/>
      <w:r w:rsidR="00656620" w:rsidRPr="003E168A">
        <w:t>Haven</w:t>
      </w:r>
      <w:proofErr w:type="spellEnd"/>
      <w:r w:rsidR="00656620" w:rsidRPr="003E168A">
        <w:t xml:space="preserve"> &amp; </w:t>
      </w:r>
      <w:proofErr w:type="spellStart"/>
      <w:r w:rsidR="00656620" w:rsidRPr="003E168A">
        <w:t>Khrennikov</w:t>
      </w:r>
      <w:proofErr w:type="spellEnd"/>
      <w:r w:rsidR="00656620" w:rsidRPr="003E168A">
        <w:t xml:space="preserve">, 2013; </w:t>
      </w:r>
      <w:proofErr w:type="spellStart"/>
      <w:r w:rsidR="00656620" w:rsidRPr="003E168A">
        <w:t>Busemeyer</w:t>
      </w:r>
      <w:proofErr w:type="spellEnd"/>
      <w:r w:rsidR="00656620" w:rsidRPr="003E168A">
        <w:t xml:space="preserve"> &amp; </w:t>
      </w:r>
      <w:proofErr w:type="spellStart"/>
      <w:r w:rsidR="00656620" w:rsidRPr="003E168A">
        <w:t>Bruza</w:t>
      </w:r>
      <w:proofErr w:type="spellEnd"/>
      <w:r w:rsidR="00656620" w:rsidRPr="003E168A">
        <w:t xml:space="preserve">, 2012; </w:t>
      </w:r>
      <w:proofErr w:type="spellStart"/>
      <w:r w:rsidR="00656620" w:rsidRPr="003E168A">
        <w:t>Orrell</w:t>
      </w:r>
      <w:proofErr w:type="spellEnd"/>
      <w:r w:rsidR="00656620" w:rsidRPr="003E168A">
        <w:t>, 2018, 2024)</w:t>
      </w:r>
      <w:r w:rsidR="00656620">
        <w:t xml:space="preserve">, valamint </w:t>
      </w:r>
      <w:proofErr w:type="spellStart"/>
      <w:r w:rsidR="00656620">
        <w:t>Scheffer</w:t>
      </w:r>
      <w:proofErr w:type="spellEnd"/>
      <w:r w:rsidR="00656620">
        <w:t xml:space="preserve"> és munkatársai </w:t>
      </w:r>
      <w:r w:rsidR="00D9767F">
        <w:t xml:space="preserve">kutatásaik során be is bizonyították, hogy a kritikus átmenetek és a strukturális törések lényegében hasonló matematikai </w:t>
      </w:r>
      <w:proofErr w:type="spellStart"/>
      <w:r w:rsidR="00D9767F">
        <w:t>mintázatokat</w:t>
      </w:r>
      <w:proofErr w:type="spellEnd"/>
      <w:r w:rsidR="00D9767F">
        <w:t xml:space="preserve"> mutatnak eltérő komplex rendszerekben, legyen szó akár az ökológiai, az éghajlati vagy a társadalmi-gazdasági rendszerekről. </w:t>
      </w:r>
    </w:p>
    <w:p w14:paraId="15BDA863" w14:textId="15FCD8F7" w:rsidR="00A40917" w:rsidRPr="00656620" w:rsidRDefault="00A40917" w:rsidP="00656620">
      <w:pPr>
        <w:pStyle w:val="fejezet1"/>
        <w:rPr>
          <w:lang w:val="hu-HU"/>
        </w:rPr>
      </w:pPr>
      <w:bookmarkStart w:id="4" w:name="_Toc215817679"/>
      <w:r w:rsidRPr="00656620">
        <w:rPr>
          <w:lang w:val="hu-HU"/>
        </w:rPr>
        <w:t>A tanulmány célja és jelentősége</w:t>
      </w:r>
      <w:bookmarkEnd w:id="4"/>
    </w:p>
    <w:p w14:paraId="7CC971B6" w14:textId="77777777" w:rsidR="008C47B9" w:rsidRDefault="00A40917" w:rsidP="00CE0D1C">
      <w:r w:rsidRPr="003E168A">
        <w:t>Jelen tanulmány célja egy kvantumfizikai analógián alapuló, innovatív modellezési keretrendszer bemutatása, amely a társadalmi-gazdasági homogenitás dinamikáját eloszlás-alapú megközelítésben teszi vizsgálhatóvá. Az új homogenitás-index (</w:t>
      </w:r>
      <w:r w:rsidR="004772FD" w:rsidRPr="003E168A">
        <w:t xml:space="preserve">vö. </w:t>
      </w:r>
      <w:r w:rsidRPr="003E168A">
        <w:t>a klasszikus pontérték helyett valószínűségi eloszlás formájában) képes</w:t>
      </w:r>
      <w:r w:rsidR="004772FD" w:rsidRPr="003E168A">
        <w:t xml:space="preserve"> lehet</w:t>
      </w:r>
      <w:r w:rsidRPr="003E168A">
        <w:t xml:space="preserve"> több egyensúlyi állapot egyidejű figyelembevételére</w:t>
      </w:r>
      <w:r w:rsidR="001831A8" w:rsidRPr="003E168A">
        <w:t>, amely fontos lehet</w:t>
      </w:r>
      <w:r w:rsidRPr="003E168A">
        <w:t xml:space="preserve"> olyan bizonytalan vagy átmeneti</w:t>
      </w:r>
      <w:r w:rsidR="00730437" w:rsidRPr="003E168A">
        <w:t xml:space="preserve"> </w:t>
      </w:r>
      <w:r w:rsidR="001831A8" w:rsidRPr="003E168A">
        <w:t>g</w:t>
      </w:r>
      <w:r w:rsidR="00730437" w:rsidRPr="003E168A">
        <w:t>azdasági</w:t>
      </w:r>
      <w:r w:rsidRPr="003E168A">
        <w:t xml:space="preserve"> helyzetekben, ahol régiók vagy országcsoportok fejlődési pályája nem triviálisan meghatározható.</w:t>
      </w:r>
      <w:r w:rsidR="00656620">
        <w:t xml:space="preserve"> </w:t>
      </w:r>
      <w:r w:rsidR="008E364E" w:rsidRPr="003E168A">
        <w:t>Ezen kívül a</w:t>
      </w:r>
      <w:r w:rsidRPr="003E168A">
        <w:t xml:space="preserve"> kvantu</w:t>
      </w:r>
      <w:r w:rsidR="00656620">
        <w:t>m-analógiákon való modellezés</w:t>
      </w:r>
      <w:r w:rsidR="008E364E" w:rsidRPr="003E168A">
        <w:t xml:space="preserve"> lehetővé </w:t>
      </w:r>
      <w:r w:rsidR="00656620">
        <w:t>tenné</w:t>
      </w:r>
      <w:r w:rsidR="008E364E" w:rsidRPr="003E168A">
        <w:t xml:space="preserve"> a</w:t>
      </w:r>
      <w:r w:rsidRPr="003E168A">
        <w:t xml:space="preserve"> </w:t>
      </w:r>
      <w:proofErr w:type="spellStart"/>
      <w:r w:rsidRPr="003E168A">
        <w:t>dekoherencia</w:t>
      </w:r>
      <w:proofErr w:type="spellEnd"/>
      <w:r w:rsidRPr="003E168A">
        <w:t xml:space="preserve">-szimulációk </w:t>
      </w:r>
      <w:r w:rsidR="00656620">
        <w:t>felépítését és fejlesztését is</w:t>
      </w:r>
      <w:r w:rsidRPr="003E168A">
        <w:t>, amelye</w:t>
      </w:r>
      <w:r w:rsidR="008C47B9">
        <w:t xml:space="preserve">k </w:t>
      </w:r>
      <w:r w:rsidR="008E364E" w:rsidRPr="003E168A">
        <w:t>segítségével</w:t>
      </w:r>
      <w:r w:rsidRPr="003E168A">
        <w:t xml:space="preserve"> előre jelezhetővé </w:t>
      </w:r>
      <w:r w:rsidR="00656620">
        <w:t>válhatnak</w:t>
      </w:r>
      <w:r w:rsidRPr="003E168A">
        <w:t xml:space="preserve"> például a gazdasági válságok, </w:t>
      </w:r>
      <w:r w:rsidR="008C47B9">
        <w:t xml:space="preserve">a </w:t>
      </w:r>
      <w:r w:rsidRPr="003E168A">
        <w:t>politikai fordulatok vagy</w:t>
      </w:r>
      <w:r w:rsidR="008C47B9">
        <w:t xml:space="preserve"> a</w:t>
      </w:r>
      <w:r w:rsidRPr="003E168A">
        <w:t xml:space="preserve"> természeti katasztrófák</w:t>
      </w:r>
      <w:r w:rsidR="00656620">
        <w:t xml:space="preserve"> </w:t>
      </w:r>
      <w:r w:rsidRPr="003E168A">
        <w:t>hatásai</w:t>
      </w:r>
      <w:r w:rsidR="008C47B9">
        <w:t xml:space="preserve"> is</w:t>
      </w:r>
      <w:r w:rsidRPr="003E168A">
        <w:t>. Kiemelt cél</w:t>
      </w:r>
      <w:r w:rsidR="008E364E" w:rsidRPr="003E168A">
        <w:t xml:space="preserve"> továbbá</w:t>
      </w:r>
      <w:r w:rsidR="00DE26A4">
        <w:t xml:space="preserve"> </w:t>
      </w:r>
      <w:r w:rsidRPr="003E168A">
        <w:t>az automatizált bifurkáció-detektálási protokollok létrehozása</w:t>
      </w:r>
      <w:r w:rsidR="008E364E" w:rsidRPr="003E168A">
        <w:t xml:space="preserve"> </w:t>
      </w:r>
      <w:r w:rsidR="008C47B9">
        <w:t>a gazdaságban</w:t>
      </w:r>
      <w:r w:rsidRPr="003E168A">
        <w:t xml:space="preserve">, melyek a kritikus átmenetek azonosítását </w:t>
      </w:r>
      <w:r w:rsidR="008C47B9">
        <w:t>segítenék elő</w:t>
      </w:r>
      <w:r w:rsidRPr="003E168A">
        <w:t xml:space="preserve"> (</w:t>
      </w:r>
      <w:proofErr w:type="spellStart"/>
      <w:r w:rsidRPr="003E168A">
        <w:t>Scheffer</w:t>
      </w:r>
      <w:proofErr w:type="spellEnd"/>
      <w:r w:rsidRPr="003E168A">
        <w:t xml:space="preserve"> </w:t>
      </w:r>
      <w:proofErr w:type="spellStart"/>
      <w:r w:rsidRPr="003E168A">
        <w:t>et</w:t>
      </w:r>
      <w:proofErr w:type="spellEnd"/>
      <w:r w:rsidRPr="003E168A">
        <w:t xml:space="preserve"> </w:t>
      </w:r>
      <w:proofErr w:type="spellStart"/>
      <w:r w:rsidRPr="003E168A">
        <w:t>al</w:t>
      </w:r>
      <w:proofErr w:type="spellEnd"/>
      <w:r w:rsidRPr="003E168A">
        <w:t xml:space="preserve">., 2009; </w:t>
      </w:r>
      <w:proofErr w:type="spellStart"/>
      <w:r w:rsidRPr="003E168A">
        <w:t>Kuehn</w:t>
      </w:r>
      <w:proofErr w:type="spellEnd"/>
      <w:r w:rsidRPr="003E168A">
        <w:t xml:space="preserve">, 2011). </w:t>
      </w:r>
    </w:p>
    <w:p w14:paraId="46B3D617" w14:textId="1D766255" w:rsidR="00A40917" w:rsidRPr="003E168A" w:rsidRDefault="008C47B9" w:rsidP="00CE0D1C">
      <w:r>
        <w:t>A tanulmány</w:t>
      </w:r>
      <w:r w:rsidR="00A40917" w:rsidRPr="003E168A">
        <w:t xml:space="preserve"> gyakorlati célkitűzés</w:t>
      </w:r>
      <w:r w:rsidR="008E364E" w:rsidRPr="003E168A">
        <w:t xml:space="preserve"> pedig </w:t>
      </w:r>
      <w:r>
        <w:t xml:space="preserve">természetesen </w:t>
      </w:r>
      <w:r w:rsidR="008E364E" w:rsidRPr="003E168A">
        <w:t>nem más, mint</w:t>
      </w:r>
      <w:r w:rsidR="00A40917" w:rsidRPr="003E168A">
        <w:t xml:space="preserve"> egy tudományosan megalapozott, az Európai Unió kohéziós politikájában is alkalmazható elemző eszköz</w:t>
      </w:r>
      <w:r>
        <w:t>rendszer</w:t>
      </w:r>
      <w:r w:rsidR="00A40917" w:rsidRPr="003E168A">
        <w:t xml:space="preserve"> kialakítása, amely </w:t>
      </w:r>
      <w:r>
        <w:t xml:space="preserve">a jövőben </w:t>
      </w:r>
      <w:r w:rsidR="00A40917" w:rsidRPr="003E168A">
        <w:t>támogatja a forrásallokáció és az intervenciók hatékonyságát.</w:t>
      </w:r>
    </w:p>
    <w:p w14:paraId="4D875130" w14:textId="580C911F" w:rsidR="00A40917" w:rsidRPr="003E168A" w:rsidRDefault="00A40917" w:rsidP="00CE0D1C">
      <w:r w:rsidRPr="003E168A">
        <w:t>A kvantum-inspirált</w:t>
      </w:r>
      <w:r w:rsidR="008E364E" w:rsidRPr="003E168A">
        <w:t xml:space="preserve"> homogenitás-mérés </w:t>
      </w:r>
      <w:r w:rsidRPr="003E168A">
        <w:t>empirikus alapját korábbi</w:t>
      </w:r>
      <w:r w:rsidR="008E364E" w:rsidRPr="003E168A">
        <w:t>,</w:t>
      </w:r>
      <w:r w:rsidRPr="003E168A">
        <w:t xml:space="preserve"> </w:t>
      </w:r>
      <w:r w:rsidR="00DC0E20" w:rsidRPr="003E168A">
        <w:t>M</w:t>
      </w:r>
      <w:r w:rsidRPr="003E168A">
        <w:t>I-alapú homogenitáskutatás</w:t>
      </w:r>
      <w:r w:rsidR="001831A8" w:rsidRPr="003E168A">
        <w:t>aink</w:t>
      </w:r>
      <w:r w:rsidRPr="003E168A">
        <w:t xml:space="preserve"> képzik, amelyek három különböző </w:t>
      </w:r>
      <w:r w:rsidR="001831A8" w:rsidRPr="003E168A">
        <w:t>geográfiai (vö. térbeli)</w:t>
      </w:r>
      <w:r w:rsidR="008E364E" w:rsidRPr="003E168A">
        <w:t xml:space="preserve"> </w:t>
      </w:r>
      <w:r w:rsidRPr="003E168A">
        <w:t xml:space="preserve">vizsgálatot ölelnek fel: az Európai Unió tagállamainak gazdasági és társadalmi homogenitása (Váradi, 2023), Budapest és agglomerációjának kulturális kohéziója (Váradi, 2025), valamint a Mezőföld régió fenntarthatósági elemzése (Váradi </w:t>
      </w:r>
      <w:proofErr w:type="spellStart"/>
      <w:r w:rsidRPr="003E168A">
        <w:t>et</w:t>
      </w:r>
      <w:proofErr w:type="spellEnd"/>
      <w:r w:rsidRPr="003E168A">
        <w:t xml:space="preserve"> </w:t>
      </w:r>
      <w:proofErr w:type="spellStart"/>
      <w:r w:rsidRPr="003E168A">
        <w:t>al</w:t>
      </w:r>
      <w:proofErr w:type="spellEnd"/>
      <w:r w:rsidRPr="003E168A">
        <w:t xml:space="preserve">., 2024). Ezek az </w:t>
      </w:r>
      <w:r w:rsidR="001831A8" w:rsidRPr="003E168A">
        <w:t>MI</w:t>
      </w:r>
      <w:r w:rsidRPr="003E168A">
        <w:t xml:space="preserve">-alapú vizsgálatok </w:t>
      </w:r>
      <w:r w:rsidR="008C47B9">
        <w:lastRenderedPageBreak/>
        <w:t xml:space="preserve">azért nyújtanak </w:t>
      </w:r>
      <w:r w:rsidRPr="003E168A">
        <w:t xml:space="preserve">kiváló </w:t>
      </w:r>
      <w:r w:rsidR="001831A8" w:rsidRPr="003E168A">
        <w:t>kiindulópontot</w:t>
      </w:r>
      <w:r w:rsidRPr="003E168A">
        <w:t xml:space="preserve"> a kvantum-inspirált modellek fejlesztéséhez, </w:t>
      </w:r>
      <w:r w:rsidR="008C47B9">
        <w:t>mert</w:t>
      </w:r>
      <w:r w:rsidR="001831A8" w:rsidRPr="003E168A">
        <w:t xml:space="preserve"> </w:t>
      </w:r>
      <w:r w:rsidR="009C5196">
        <w:t>megerősítették</w:t>
      </w:r>
      <w:r w:rsidRPr="003E168A">
        <w:t xml:space="preserve">, hogy az automatizált, objektív homogenitásmérés gyakorlatilag megvalósítható és </w:t>
      </w:r>
      <w:r w:rsidR="008E364E" w:rsidRPr="003E168A">
        <w:t xml:space="preserve">hasznos lehet </w:t>
      </w:r>
      <w:r w:rsidRPr="003E168A">
        <w:t>a társadalmi-gazdasági folyamatok megértésében</w:t>
      </w:r>
      <w:r w:rsidR="008E364E" w:rsidRPr="003E168A">
        <w:t xml:space="preserve"> is</w:t>
      </w:r>
      <w:r w:rsidRPr="003E168A">
        <w:t xml:space="preserve">. </w:t>
      </w:r>
      <w:r w:rsidR="008C47B9">
        <w:t xml:space="preserve">Az imént említett három kutatás eredményeit részletesen bemutatom a következő (3.) fejezetben. </w:t>
      </w:r>
    </w:p>
    <w:p w14:paraId="750F275D" w14:textId="16A34A66" w:rsidR="001F65F0" w:rsidRPr="003E168A" w:rsidRDefault="001F65F0" w:rsidP="001F65F0">
      <w:pPr>
        <w:pStyle w:val="fejezet1"/>
        <w:rPr>
          <w:lang w:val="hu-HU"/>
        </w:rPr>
      </w:pPr>
      <w:bookmarkStart w:id="5" w:name="_Toc215817680"/>
      <w:r w:rsidRPr="003E168A">
        <w:rPr>
          <w:lang w:val="hu-HU"/>
        </w:rPr>
        <w:t>Szakirodalom és Empirikus alapok</w:t>
      </w:r>
      <w:bookmarkEnd w:id="5"/>
    </w:p>
    <w:p w14:paraId="25EB2917" w14:textId="730CC384" w:rsidR="00914E0E" w:rsidRPr="003E168A" w:rsidRDefault="008C47B9" w:rsidP="00CE0D1C">
      <w:r>
        <w:t>A kvantum-inspirált homogenitás mérés keretmódszertanának alapjai</w:t>
      </w:r>
      <w:r w:rsidR="002106C4">
        <w:t xml:space="preserve"> korábbi MI-alapú homogenitáskutatásaink eredményein és alkalmazott módszertanán nyugszik. </w:t>
      </w:r>
      <w:r w:rsidR="001F65F0" w:rsidRPr="003E168A">
        <w:t>Ezek a vizsgálatok bebizonyították</w:t>
      </w:r>
      <w:r w:rsidR="002106C4">
        <w:t xml:space="preserve"> ugyanis</w:t>
      </w:r>
      <w:r w:rsidR="001F65F0" w:rsidRPr="003E168A">
        <w:t xml:space="preserve">, hogy az automatizált, objektív homogenitásmérés megvalósítható, azaz a homogenitás mint fogalom forráskódba írható, így követi a </w:t>
      </w:r>
      <w:proofErr w:type="spellStart"/>
      <w:r w:rsidR="001F65F0" w:rsidRPr="003E168A">
        <w:t>Knuth</w:t>
      </w:r>
      <w:proofErr w:type="spellEnd"/>
      <w:r w:rsidR="001F65F0" w:rsidRPr="003E168A">
        <w:t>-i elméletrendszert</w:t>
      </w:r>
      <w:r w:rsidR="002106C4">
        <w:t xml:space="preserve"> (vö.</w:t>
      </w:r>
      <w:r w:rsidR="001F65F0" w:rsidRPr="003E168A">
        <w:t xml:space="preserve"> „minden ami forráskódba írható és a számítógép számára elmagyarázható tudomány, minden más pedig művészet</w:t>
      </w:r>
      <w:r w:rsidR="00DE26A4">
        <w:t>”</w:t>
      </w:r>
      <w:r w:rsidR="002106C4">
        <w:t>)</w:t>
      </w:r>
      <w:r w:rsidR="001F65F0" w:rsidRPr="003E168A">
        <w:t>.</w:t>
      </w:r>
    </w:p>
    <w:p w14:paraId="68C5D764" w14:textId="2D47205E" w:rsidR="006A3CB8" w:rsidRDefault="00914E0E" w:rsidP="006A3CB8">
      <w:r w:rsidRPr="003E168A">
        <w:t>Mindhárom eddigi kutatás közös módszertani alapja a COCO Y0 MI-alapú homogenitásmérési keretrendszer volt</w:t>
      </w:r>
      <w:r w:rsidR="002106C4">
        <w:t>, amely</w:t>
      </w:r>
      <w:r w:rsidR="006A3CB8">
        <w:t xml:space="preserve"> feladata egy olyan Y-vektor előállítása, amely minden objektum (pl. ország, régió, település) esetében azonos értéket vesz fel megfelelő súlyozás mellett. Ha ez megvalósul, akkor az objektumok között nincs feloldhatatlan ellentmondás – azaz esélyegyenlőség áll fenn. Ha nem, akkor a modell azonosítja a legnagyobb eltéréseket okozó attribútumokat és objektumokat. Az algoritmus egy speciális ötszörös méretű OAM-</w:t>
      </w:r>
      <w:r w:rsidR="009C5196">
        <w:t>e</w:t>
      </w:r>
      <w:r w:rsidR="006A3CB8">
        <w:t>n dolgozik, azaz minden objektum ötször szerepel, különböző Y-értékekkel (konstans alatti, konstans, konstans feletti értékek). Így a modell arra kényszerül, hogy a konstans értéket becsülje minden objektumra, miközben felderíti az attribútumok relatív fontosságát és a lépcsős függvények szerkezetét.</w:t>
      </w:r>
    </w:p>
    <w:p w14:paraId="1B45F29B" w14:textId="40B13187" w:rsidR="00914E0E" w:rsidRPr="003E168A" w:rsidRDefault="002106C4" w:rsidP="00CE0D1C">
      <w:r>
        <w:t xml:space="preserve">Ez a </w:t>
      </w:r>
      <w:r w:rsidR="00E35E70">
        <w:t>módszer</w:t>
      </w:r>
      <w:r>
        <w:t xml:space="preserve"> nem igényel előzetes humán feltételezéseket sem a homogenitás </w:t>
      </w:r>
      <w:r w:rsidR="00E35E70">
        <w:t xml:space="preserve">szerkezetéről, így az eredmény teljes mértékben objektív és adat vezérelt marad. </w:t>
      </w:r>
      <w:r w:rsidR="00914E0E" w:rsidRPr="003E168A">
        <w:t>Az eddigi kutatásaink</w:t>
      </w:r>
      <w:r w:rsidR="00DE26A4">
        <w:t xml:space="preserve"> legfontosabb</w:t>
      </w:r>
      <w:r w:rsidR="00914E0E" w:rsidRPr="003E168A">
        <w:t xml:space="preserve"> eredményeit ebben a fejezetben mutatom be részletesen. </w:t>
      </w:r>
    </w:p>
    <w:p w14:paraId="222F4FCD" w14:textId="7F85FA6A" w:rsidR="001F65F0" w:rsidRPr="003E168A" w:rsidRDefault="001F65F0" w:rsidP="001F65F0">
      <w:pPr>
        <w:pStyle w:val="fejezet2"/>
      </w:pPr>
      <w:bookmarkStart w:id="6" w:name="_Toc215817681"/>
      <w:r w:rsidRPr="003E168A">
        <w:t>EU homogenitás</w:t>
      </w:r>
      <w:bookmarkEnd w:id="6"/>
    </w:p>
    <w:p w14:paraId="1EB5B0CA" w14:textId="5D8D0781" w:rsidR="000876F1" w:rsidRDefault="00487661" w:rsidP="000876F1">
      <w:r>
        <w:t xml:space="preserve">A 2023-ban íródott szakdolgozatomban egy olyan keretrendszert fejlesztettem ki, ami képes </w:t>
      </w:r>
      <w:r w:rsidR="001F65F0" w:rsidRPr="003E168A">
        <w:t>az EU</w:t>
      </w:r>
      <w:r>
        <w:t>-s</w:t>
      </w:r>
      <w:r w:rsidR="001F65F0" w:rsidRPr="003E168A">
        <w:t xml:space="preserve"> tagállamok gazdasági és társadalmi homogenitásának mérésére. Az elemzés </w:t>
      </w:r>
      <w:r w:rsidR="00E35E70">
        <w:t>5</w:t>
      </w:r>
      <w:r w:rsidR="001F65F0" w:rsidRPr="003E168A">
        <w:t xml:space="preserve"> OECD változót vizsgált</w:t>
      </w:r>
      <w:r w:rsidR="00E35E70">
        <w:t xml:space="preserve"> (vö. átlagbér alakulása, munkával eltöltött idő mérése, várható élettartam, munkanélküliségi ráta, valamint a GDP) </w:t>
      </w:r>
      <w:r w:rsidR="001F65F0" w:rsidRPr="003E168A">
        <w:t>az EU</w:t>
      </w:r>
      <w:r w:rsidR="00E35E70">
        <w:t xml:space="preserve"> 22</w:t>
      </w:r>
      <w:r w:rsidR="001F65F0" w:rsidRPr="003E168A">
        <w:t xml:space="preserve"> tagállam</w:t>
      </w:r>
      <w:r w:rsidR="00E35E70">
        <w:t>ai</w:t>
      </w:r>
      <w:r w:rsidR="001F65F0" w:rsidRPr="003E168A">
        <w:t xml:space="preserve"> vonatkozásában, és kimutatta, hogy a gazdasági homogenitás időbeli alakulása nem lineáris, hanem ciklikus </w:t>
      </w:r>
      <w:proofErr w:type="spellStart"/>
      <w:r w:rsidR="001F65F0" w:rsidRPr="003E168A">
        <w:t>mintázatokat</w:t>
      </w:r>
      <w:proofErr w:type="spellEnd"/>
      <w:r w:rsidR="001F65F0" w:rsidRPr="003E168A">
        <w:t xml:space="preserve"> mutat. </w:t>
      </w:r>
      <w:r w:rsidR="00894584">
        <w:t>Így az</w:t>
      </w:r>
      <w:r w:rsidR="001F65F0" w:rsidRPr="003E168A">
        <w:t xml:space="preserve"> MI-alapú módszertan </w:t>
      </w:r>
      <w:r w:rsidR="00894584">
        <w:t xml:space="preserve">nem csak azt tette </w:t>
      </w:r>
      <w:r w:rsidR="001F65F0" w:rsidRPr="003E168A">
        <w:t>lehetővé, hogy</w:t>
      </w:r>
      <w:r w:rsidR="00894584">
        <w:t xml:space="preserve"> az EU tagállamait homogenitásuk alapján sorrendbe állíts</w:t>
      </w:r>
      <w:r>
        <w:t>am</w:t>
      </w:r>
      <w:r w:rsidR="00894584">
        <w:t>, hanem azt is, hogy</w:t>
      </w:r>
      <w:r w:rsidR="001F65F0" w:rsidRPr="003E168A">
        <w:t xml:space="preserve"> objektív módon azonosíthatók </w:t>
      </w:r>
      <w:r w:rsidR="001F65F0" w:rsidRPr="003E168A">
        <w:lastRenderedPageBreak/>
        <w:t>legyenek a homogenitás kritikus változásai</w:t>
      </w:r>
      <w:r w:rsidR="00894584">
        <w:t xml:space="preserve"> a felhasznált 22 tagállam idősoros statisztikai adatai alapján.</w:t>
      </w:r>
    </w:p>
    <w:bookmarkStart w:id="7" w:name="_Ref215816691"/>
    <w:p w14:paraId="3F6594F1" w14:textId="111CD83D" w:rsidR="000876F1" w:rsidRDefault="000876F1" w:rsidP="000876F1">
      <w:pPr>
        <w:pStyle w:val="Kpalrs"/>
        <w:keepNext/>
        <w:jc w:val="right"/>
      </w:pPr>
      <w:r>
        <w:fldChar w:fldCharType="begin"/>
      </w:r>
      <w:r>
        <w:instrText xml:space="preserve"> SEQ ábra \* ARABIC </w:instrText>
      </w:r>
      <w:r>
        <w:fldChar w:fldCharType="separate"/>
      </w:r>
      <w:r>
        <w:rPr>
          <w:noProof/>
        </w:rPr>
        <w:t>1</w:t>
      </w:r>
      <w:r>
        <w:fldChar w:fldCharType="end"/>
      </w:r>
      <w:r>
        <w:t>. ábra</w:t>
      </w:r>
      <w:bookmarkEnd w:id="7"/>
      <w:r>
        <w:t>:</w:t>
      </w:r>
      <w:r w:rsidRPr="005B7A49">
        <w:t xml:space="preserve"> Az Európai Homogenitás indexek átlaga</w:t>
      </w:r>
    </w:p>
    <w:p w14:paraId="728108C4" w14:textId="77777777" w:rsidR="003E67FB" w:rsidRDefault="00397F70" w:rsidP="003E67FB">
      <w:pPr>
        <w:keepNext/>
        <w:ind w:firstLine="0"/>
        <w:jc w:val="center"/>
      </w:pPr>
      <w:r>
        <w:rPr>
          <w:noProof/>
        </w:rPr>
        <w:drawing>
          <wp:inline distT="0" distB="0" distL="0" distR="0" wp14:anchorId="474467C3" wp14:editId="6F719E8C">
            <wp:extent cx="4410000" cy="2230120"/>
            <wp:effectExtent l="0" t="0" r="10160" b="17780"/>
            <wp:docPr id="3281425" name="Diagram 1">
              <a:extLst xmlns:a="http://schemas.openxmlformats.org/drawingml/2006/main">
                <a:ext uri="{FF2B5EF4-FFF2-40B4-BE49-F238E27FC236}">
                  <a16:creationId xmlns:a16="http://schemas.microsoft.com/office/drawing/2014/main" id="{D2C9A2A0-A965-79D4-9CEA-CDC256625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039220" w14:textId="48DE408A" w:rsidR="00894584" w:rsidRPr="003E168A" w:rsidRDefault="003E67FB" w:rsidP="000876F1">
      <w:pPr>
        <w:pStyle w:val="Kpalrs"/>
        <w:spacing w:after="120"/>
        <w:jc w:val="right"/>
      </w:pPr>
      <w:bookmarkStart w:id="8" w:name="_Toc212910263"/>
      <w:r>
        <w:t>Forrás: Váradi Dániel, Az EU monitoring rendszerének</w:t>
      </w:r>
      <w:bookmarkEnd w:id="8"/>
      <w:r>
        <w:t xml:space="preserve"> mesterséges intelligencia alapokra helyezése szakdolgozat</w:t>
      </w:r>
    </w:p>
    <w:p w14:paraId="4E448D3A" w14:textId="5C26AF06" w:rsidR="00397F70" w:rsidRDefault="001F65F0" w:rsidP="00CE0D1C">
      <w:r w:rsidRPr="003E168A">
        <w:t>Az</w:t>
      </w:r>
      <w:r w:rsidR="00397F70">
        <w:t xml:space="preserve"> </w:t>
      </w:r>
      <w:r w:rsidR="000876F1">
        <w:fldChar w:fldCharType="begin"/>
      </w:r>
      <w:r w:rsidR="000876F1">
        <w:instrText xml:space="preserve"> REF _Ref215816691 \h </w:instrText>
      </w:r>
      <w:r w:rsidR="000876F1">
        <w:fldChar w:fldCharType="separate"/>
      </w:r>
      <w:r w:rsidR="000876F1">
        <w:rPr>
          <w:noProof/>
        </w:rPr>
        <w:t>1</w:t>
      </w:r>
      <w:r w:rsidR="000876F1">
        <w:t>. ábra</w:t>
      </w:r>
      <w:r w:rsidR="000876F1">
        <w:fldChar w:fldCharType="end"/>
      </w:r>
      <w:r w:rsidR="00397F70">
        <w:t xml:space="preserve"> </w:t>
      </w:r>
      <w:r w:rsidR="000876F1">
        <w:t>mutatja az éves homogenitás index átlagait melyek</w:t>
      </w:r>
      <w:r w:rsidRPr="003E168A">
        <w:t xml:space="preserve"> szerint</w:t>
      </w:r>
      <w:r w:rsidR="00397F70">
        <w:t xml:space="preserve"> (minél kisebb annál jobb)</w:t>
      </w:r>
      <w:r w:rsidRPr="003E168A">
        <w:t xml:space="preserve"> az EU homogenitása 2004 és 2008 között erősödött, majd a pénzügyi válság hatására </w:t>
      </w:r>
      <w:r w:rsidR="00397F70">
        <w:t xml:space="preserve"> a 2006-os szintre </w:t>
      </w:r>
      <w:r w:rsidRPr="003E168A">
        <w:t>csökkent. A 201</w:t>
      </w:r>
      <w:r w:rsidR="00397F70">
        <w:t>3</w:t>
      </w:r>
      <w:r w:rsidRPr="003E168A">
        <w:t>-</w:t>
      </w:r>
      <w:r w:rsidR="00397F70">
        <w:t>a</w:t>
      </w:r>
      <w:r w:rsidRPr="003E168A">
        <w:t>s évek közepétől újból javulás volt tapasztalható, amit azonban a Covid-19 pandémia megállított</w:t>
      </w:r>
      <w:r w:rsidR="00397F70">
        <w:t xml:space="preserve"> és így a homogenitás kb. 2014-es évi mértékre csökkent vissza</w:t>
      </w:r>
      <w:r w:rsidRPr="003E168A">
        <w:t xml:space="preserve">. </w:t>
      </w:r>
    </w:p>
    <w:p w14:paraId="245C1EE7" w14:textId="55A0DFB1" w:rsidR="001F65F0" w:rsidRPr="003E168A" w:rsidRDefault="001F65F0" w:rsidP="00CE0D1C">
      <w:r w:rsidRPr="003E168A">
        <w:t xml:space="preserve">Ez az empirikus mintázat </w:t>
      </w:r>
      <w:r w:rsidR="00397F70">
        <w:t>szembetűnő</w:t>
      </w:r>
      <w:r w:rsidRPr="003E168A">
        <w:t xml:space="preserve"> hasonlóságot mutat a kvantummechanikai </w:t>
      </w:r>
      <w:proofErr w:type="spellStart"/>
      <w:r w:rsidRPr="003E168A">
        <w:t>dekoherencia-rekoherencia</w:t>
      </w:r>
      <w:proofErr w:type="spellEnd"/>
      <w:r w:rsidRPr="003E168A">
        <w:t xml:space="preserve"> folyamatokkal, ahol egy koherens állapot külső zavar hatására </w:t>
      </w:r>
      <w:proofErr w:type="spellStart"/>
      <w:r w:rsidRPr="003E168A">
        <w:t>dekohereál</w:t>
      </w:r>
      <w:proofErr w:type="spellEnd"/>
      <w:r w:rsidRPr="003E168A">
        <w:t xml:space="preserve">, majd </w:t>
      </w:r>
      <w:r w:rsidR="00397F70">
        <w:t xml:space="preserve">ez a </w:t>
      </w:r>
      <w:r w:rsidRPr="003E168A">
        <w:t>kedvező körülmények között újra koherenssé vál</w:t>
      </w:r>
      <w:r w:rsidR="00397F70">
        <w:t>ik</w:t>
      </w:r>
      <w:r w:rsidRPr="003E168A">
        <w:t>.</w:t>
      </w:r>
    </w:p>
    <w:p w14:paraId="7D1A5908" w14:textId="4C23D0D0" w:rsidR="001F65F0" w:rsidRPr="003E168A" w:rsidRDefault="00617FAC" w:rsidP="001F65F0">
      <w:pPr>
        <w:pStyle w:val="fejezet2"/>
      </w:pPr>
      <w:bookmarkStart w:id="9" w:name="_Toc215817682"/>
      <w:r>
        <w:t>A</w:t>
      </w:r>
      <w:r w:rsidR="001F65F0" w:rsidRPr="003E168A">
        <w:t xml:space="preserve"> Mezőföld fenntarthatósági elemzése</w:t>
      </w:r>
      <w:bookmarkEnd w:id="9"/>
    </w:p>
    <w:p w14:paraId="00F3E922" w14:textId="6520EA2D" w:rsidR="003F118E" w:rsidRDefault="001F65F0" w:rsidP="000876F1">
      <w:pPr>
        <w:ind w:firstLine="0"/>
      </w:pPr>
      <w:r w:rsidRPr="003E168A">
        <w:t>2024</w:t>
      </w:r>
      <w:r w:rsidR="00487661">
        <w:t>-ben Kulcsár László és Pitlik László közreműködésével elvégeztük</w:t>
      </w:r>
      <w:r w:rsidRPr="003E168A">
        <w:t xml:space="preserve"> a Mezőföld régió 37 településének fenntarthatósági elemzését</w:t>
      </w:r>
      <w:r w:rsidR="00487661">
        <w:t>,</w:t>
      </w:r>
      <w:r w:rsidR="003F118E">
        <w:t xml:space="preserve"> melyhez szintén</w:t>
      </w:r>
      <w:r w:rsidR="00487661">
        <w:t xml:space="preserve"> az</w:t>
      </w:r>
      <w:r w:rsidRPr="003E168A">
        <w:t xml:space="preserve"> MI-alapú </w:t>
      </w:r>
      <w:r w:rsidR="003F118E">
        <w:t>COCO Y0 motort használtuk</w:t>
      </w:r>
      <w:r w:rsidRPr="003E168A">
        <w:t>.</w:t>
      </w:r>
    </w:p>
    <w:p w14:paraId="40831411" w14:textId="51FE0741" w:rsidR="009B4956" w:rsidRDefault="003F118E" w:rsidP="00CE0D1C">
      <w:r>
        <w:t>A</w:t>
      </w:r>
      <w:r w:rsidR="00E02E0A">
        <w:t>z empirikus</w:t>
      </w:r>
      <w:r>
        <w:t xml:space="preserve"> kutatás</w:t>
      </w:r>
      <w:r w:rsidR="00E02E0A">
        <w:t xml:space="preserve"> bemeneti adatbázisa</w:t>
      </w:r>
      <w:r>
        <w:t xml:space="preserve"> négy évtized statisztikai (vö. </w:t>
      </w:r>
      <w:proofErr w:type="spellStart"/>
      <w:r>
        <w:t>TEiR</w:t>
      </w:r>
      <w:proofErr w:type="spellEnd"/>
      <w:r>
        <w:t>) adatai</w:t>
      </w:r>
      <w:r w:rsidR="00E02E0A">
        <w:t xml:space="preserve"> voltak, melyek alapján – további optimalizációs módszerek segítségével – azonosítottuk a legfentarthatóbb településcsoportokat. </w:t>
      </w:r>
      <w:r w:rsidR="001F65F0" w:rsidRPr="003E168A">
        <w:t xml:space="preserve">Az </w:t>
      </w:r>
      <w:r w:rsidR="00E02E0A">
        <w:t xml:space="preserve">így megkapott </w:t>
      </w:r>
      <w:r w:rsidR="001F65F0" w:rsidRPr="003E168A">
        <w:t>eredmények</w:t>
      </w:r>
      <w:r w:rsidR="00E02E0A">
        <w:t>re támaszkodva kijelenthető, hogy</w:t>
      </w:r>
      <w:r w:rsidR="001F65F0" w:rsidRPr="003E168A">
        <w:t xml:space="preserve"> a </w:t>
      </w:r>
      <w:r w:rsidR="00E02E0A">
        <w:t xml:space="preserve">Mezőföld </w:t>
      </w:r>
      <w:r w:rsidR="001F65F0" w:rsidRPr="003E168A">
        <w:t>régió homogenitás</w:t>
      </w:r>
      <w:r w:rsidR="009B4956">
        <w:t>ának eloszlása nem egyenletes a különböző településtípusok között</w:t>
      </w:r>
      <w:r w:rsidR="009C5196">
        <w:t>,</w:t>
      </w:r>
      <w:r w:rsidR="001F65F0" w:rsidRPr="003E168A">
        <w:t xml:space="preserve"> </w:t>
      </w:r>
      <w:r w:rsidR="009C5196">
        <w:t>v</w:t>
      </w:r>
      <w:r w:rsidR="001F65F0" w:rsidRPr="003E168A">
        <w:t>annak olyan településklaszterek, amelyek erős belső kohéziót mutatnak, míg mások periferikus helyzetben vannak</w:t>
      </w:r>
      <w:r w:rsidR="009B4956">
        <w:t>, de</w:t>
      </w:r>
      <w:r w:rsidR="001F65F0" w:rsidRPr="003E168A">
        <w:t xml:space="preserve"> </w:t>
      </w:r>
      <w:r w:rsidR="009B4956">
        <w:t>a regionális kohézió fenntartásában legfőképp a középvárosok játszanak meghatározó szerepet (vö. Székesfehérvár, Dunaújváros).</w:t>
      </w:r>
    </w:p>
    <w:p w14:paraId="3BF7A8F3" w14:textId="77777777" w:rsidR="00F5369F" w:rsidRDefault="001F65F0" w:rsidP="00CE0D1C">
      <w:r w:rsidRPr="003E168A">
        <w:t>A</w:t>
      </w:r>
      <w:r w:rsidR="00F5369F">
        <w:t xml:space="preserve"> fentieken kívül a</w:t>
      </w:r>
      <w:r w:rsidRPr="003E168A">
        <w:t xml:space="preserve"> vizsgálat rávilágított arra is, hogy a regionális homogenitás</w:t>
      </w:r>
      <w:r w:rsidR="009B4956">
        <w:t xml:space="preserve"> időben változik, </w:t>
      </w:r>
      <w:r w:rsidR="00F5369F">
        <w:t>ezért ez</w:t>
      </w:r>
      <w:r w:rsidR="009B4956">
        <w:t xml:space="preserve"> nem </w:t>
      </w:r>
      <w:r w:rsidR="00F5369F">
        <w:t>írható le egyetlen</w:t>
      </w:r>
      <w:r w:rsidR="009B4956">
        <w:t xml:space="preserve"> statikus pontként</w:t>
      </w:r>
      <w:r w:rsidRPr="003E168A">
        <w:t xml:space="preserve">, hanem </w:t>
      </w:r>
      <w:r w:rsidR="009B4956">
        <w:t xml:space="preserve">ez </w:t>
      </w:r>
      <w:r w:rsidRPr="003E168A">
        <w:t xml:space="preserve">egy olyan dinamikus </w:t>
      </w:r>
      <w:r w:rsidRPr="003E168A">
        <w:lastRenderedPageBreak/>
        <w:t>folyamat, amelyet külső gazdasági sokkok (például a 2008-as válság, a mezőgazdasági szubvenciók változása) jelentősen befolyásolnak.</w:t>
      </w:r>
    </w:p>
    <w:p w14:paraId="76D6954B" w14:textId="3553937B" w:rsidR="001F65F0" w:rsidRPr="003E168A" w:rsidRDefault="00F5369F" w:rsidP="00CE0D1C">
      <w:r>
        <w:t xml:space="preserve">A fent bemutatott eredményekből jól látszik, hogy ezek a folyamatok szorosan kapcsolódnak </w:t>
      </w:r>
      <w:r w:rsidR="001F65F0" w:rsidRPr="003E168A">
        <w:t xml:space="preserve">a kritikus átmenetek és bifurkációk elméletéhez, </w:t>
      </w:r>
      <w:r w:rsidR="00487661">
        <w:t>így</w:t>
      </w:r>
      <w:r w:rsidR="001F65F0" w:rsidRPr="003E168A">
        <w:t xml:space="preserve"> alátámasztja a kvantum-analóg </w:t>
      </w:r>
      <w:proofErr w:type="spellStart"/>
      <w:r w:rsidR="001F65F0" w:rsidRPr="003E168A">
        <w:t>dekoherencia</w:t>
      </w:r>
      <w:proofErr w:type="spellEnd"/>
      <w:r w:rsidR="001F65F0" w:rsidRPr="003E168A">
        <w:t>-modell relevanciáját</w:t>
      </w:r>
      <w:r w:rsidR="00487661">
        <w:t xml:space="preserve"> </w:t>
      </w:r>
      <w:r>
        <w:t>már a régiós homogenitásmérési szinten is</w:t>
      </w:r>
      <w:r w:rsidR="001F65F0" w:rsidRPr="003E168A">
        <w:t>.</w:t>
      </w:r>
    </w:p>
    <w:p w14:paraId="212A5529" w14:textId="71F62A3D" w:rsidR="001F65F0" w:rsidRPr="003E168A" w:rsidRDefault="001F65F0" w:rsidP="001F65F0">
      <w:pPr>
        <w:pStyle w:val="fejezet2"/>
      </w:pPr>
      <w:bookmarkStart w:id="10" w:name="_Toc215817683"/>
      <w:r w:rsidRPr="003E168A">
        <w:t>Budapest és agglomeráció</w:t>
      </w:r>
      <w:r w:rsidR="00617FAC">
        <w:t xml:space="preserve"> kulturális kohéziója</w:t>
      </w:r>
      <w:bookmarkEnd w:id="10"/>
    </w:p>
    <w:p w14:paraId="2C7C0B6E" w14:textId="77777777" w:rsidR="00601661" w:rsidRDefault="00F5369F" w:rsidP="00CE0D1C">
      <w:r>
        <w:t xml:space="preserve">Mesterfokozatos diplomamunkában Budapest 23 kerületének és a közvetlen szomszédságot jelentő települések kulturális kohéziójának automatizált mérését végeztem el, szintén az MI-segítségével. A kutatás olyan nagyvolumenű adatvagyonra épült </w:t>
      </w:r>
      <w:r w:rsidR="001F65F0" w:rsidRPr="003E168A">
        <w:t xml:space="preserve">amely </w:t>
      </w:r>
      <w:r>
        <w:t>magában foglalta</w:t>
      </w:r>
      <w:r w:rsidR="001F65F0" w:rsidRPr="003E168A">
        <w:t xml:space="preserve"> a</w:t>
      </w:r>
      <w:r w:rsidR="009202A5">
        <w:t xml:space="preserve"> </w:t>
      </w:r>
      <w:proofErr w:type="spellStart"/>
      <w:r w:rsidR="009202A5">
        <w:t>TEiR</w:t>
      </w:r>
      <w:proofErr w:type="spellEnd"/>
      <w:r w:rsidR="009202A5">
        <w:t xml:space="preserve"> adatbázisban elérhető</w:t>
      </w:r>
      <w:r w:rsidR="001F65F0" w:rsidRPr="003E168A">
        <w:t xml:space="preserve"> demográfiai, oktatási, kulturális és gazdasági mutatókat</w:t>
      </w:r>
      <w:r>
        <w:t xml:space="preserve"> is egyaránt</w:t>
      </w:r>
      <w:r w:rsidR="001F65F0" w:rsidRPr="003E168A">
        <w:t>.</w:t>
      </w:r>
      <w:r>
        <w:t xml:space="preserve"> A kutatás módszertana kiterjedt az egyes </w:t>
      </w:r>
      <w:r w:rsidR="00360243">
        <w:t>mutatók</w:t>
      </w:r>
      <w:r>
        <w:t xml:space="preserve"> </w:t>
      </w:r>
      <w:proofErr w:type="spellStart"/>
      <w:r>
        <w:t>relativizálására</w:t>
      </w:r>
      <w:proofErr w:type="spellEnd"/>
      <w:r>
        <w:t xml:space="preserve"> és normalizálására, </w:t>
      </w:r>
      <w:r w:rsidR="00360243">
        <w:t xml:space="preserve">a kulturális kohézió objektív mérésére kialakított MI-alapú hasonlóság-elemzés rendszereire, valamint egy újonnan bevezetett statisztikai neuronok használatára is. </w:t>
      </w:r>
    </w:p>
    <w:bookmarkStart w:id="11" w:name="_Ref215816868"/>
    <w:p w14:paraId="22F1DD5C" w14:textId="0D2ADCE7" w:rsidR="000876F1" w:rsidRDefault="000876F1" w:rsidP="000876F1">
      <w:pPr>
        <w:pStyle w:val="Kpalrs"/>
        <w:keepNext/>
        <w:jc w:val="right"/>
      </w:pPr>
      <w:r>
        <w:fldChar w:fldCharType="begin"/>
      </w:r>
      <w:r>
        <w:instrText xml:space="preserve"> SEQ ábra \* ARABIC </w:instrText>
      </w:r>
      <w:r>
        <w:fldChar w:fldCharType="separate"/>
      </w:r>
      <w:r>
        <w:rPr>
          <w:noProof/>
        </w:rPr>
        <w:t>2</w:t>
      </w:r>
      <w:r>
        <w:fldChar w:fldCharType="end"/>
      </w:r>
      <w:r>
        <w:t>. ábra</w:t>
      </w:r>
      <w:bookmarkEnd w:id="11"/>
      <w:r>
        <w:t>:</w:t>
      </w:r>
      <w:r w:rsidRPr="00391E53">
        <w:t xml:space="preserve"> Organikus fejlődéssel és vákuum hatással jellemezhető területek Budapest és az agglomeráció</w:t>
      </w:r>
    </w:p>
    <w:p w14:paraId="4818ED13" w14:textId="77777777" w:rsidR="00601661" w:rsidRDefault="00601661" w:rsidP="00617FAC">
      <w:pPr>
        <w:keepNext/>
        <w:jc w:val="center"/>
      </w:pPr>
      <w:r w:rsidRPr="00601661">
        <w:rPr>
          <w:noProof/>
        </w:rPr>
        <w:drawing>
          <wp:inline distT="0" distB="0" distL="0" distR="0" wp14:anchorId="2895AB3D" wp14:editId="6226E372">
            <wp:extent cx="4410000" cy="2109600"/>
            <wp:effectExtent l="0" t="0" r="0" b="5080"/>
            <wp:docPr id="1515610285" name="Kép 1" descr="A képen szöveg, szám, Betűtípus, nyugt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10285" name="Kép 1" descr="A képen szöveg, szám, Betűtípus, nyugta látható&#10;&#10;Előfordulhat, hogy az AI által létrehozott tartalom helytelen."/>
                    <pic:cNvPicPr/>
                  </pic:nvPicPr>
                  <pic:blipFill>
                    <a:blip r:embed="rId11"/>
                    <a:stretch>
                      <a:fillRect/>
                    </a:stretch>
                  </pic:blipFill>
                  <pic:spPr>
                    <a:xfrm>
                      <a:off x="0" y="0"/>
                      <a:ext cx="4410000" cy="2109600"/>
                    </a:xfrm>
                    <a:prstGeom prst="rect">
                      <a:avLst/>
                    </a:prstGeom>
                  </pic:spPr>
                </pic:pic>
              </a:graphicData>
            </a:graphic>
          </wp:inline>
        </w:drawing>
      </w:r>
    </w:p>
    <w:p w14:paraId="0607FC1B" w14:textId="7C1ADE0E" w:rsidR="00360243" w:rsidRDefault="00601661" w:rsidP="00601661">
      <w:pPr>
        <w:pStyle w:val="Kpalrs"/>
        <w:jc w:val="right"/>
      </w:pPr>
      <w:bookmarkStart w:id="12" w:name="_Toc212910264"/>
      <w:r>
        <w:t xml:space="preserve">Forrás: Váradi Dániel, </w:t>
      </w:r>
      <w:proofErr w:type="spellStart"/>
      <w:r>
        <w:t>MSc</w:t>
      </w:r>
      <w:proofErr w:type="spellEnd"/>
      <w:r>
        <w:t>. Szakdolgozat, Mértékegység: dimenzió nélküli indexszám</w:t>
      </w:r>
      <w:bookmarkEnd w:id="12"/>
    </w:p>
    <w:p w14:paraId="6739681E" w14:textId="3674075F" w:rsidR="00E41C2C" w:rsidRDefault="00601661" w:rsidP="00CE0D1C">
      <w:r>
        <w:t xml:space="preserve">Ahogy az a </w:t>
      </w:r>
      <w:r w:rsidR="000876F1">
        <w:fldChar w:fldCharType="begin"/>
      </w:r>
      <w:r w:rsidR="000876F1">
        <w:instrText xml:space="preserve"> REF _Ref215816868 \h </w:instrText>
      </w:r>
      <w:r w:rsidR="000876F1">
        <w:fldChar w:fldCharType="separate"/>
      </w:r>
      <w:r w:rsidR="000876F1">
        <w:rPr>
          <w:noProof/>
        </w:rPr>
        <w:t>2</w:t>
      </w:r>
      <w:r w:rsidR="000876F1">
        <w:t>. ábra</w:t>
      </w:r>
      <w:r w:rsidR="000876F1">
        <w:fldChar w:fldCharType="end"/>
      </w:r>
      <w:r>
        <w:t xml:space="preserve"> is </w:t>
      </w:r>
      <w:r w:rsidR="000876F1">
        <w:t>mutatja,</w:t>
      </w:r>
      <w:r w:rsidR="004764A0">
        <w:t xml:space="preserve"> két alapvető térbeli jelenséget azonosított</w:t>
      </w:r>
      <w:r>
        <w:t>am</w:t>
      </w:r>
      <w:r w:rsidR="004764A0">
        <w:t xml:space="preserve"> Budapest szerkezetében. Az első az organikusan fejlődő kerületek és</w:t>
      </w:r>
      <w:r w:rsidR="009202A5">
        <w:t xml:space="preserve"> agglomerációs</w:t>
      </w:r>
      <w:r w:rsidR="004764A0">
        <w:t xml:space="preserve"> települések (vö. </w:t>
      </w:r>
      <w:r w:rsidR="00E41C2C" w:rsidRPr="00E41C2C">
        <w:t xml:space="preserve">III., IV. kerületek, valamint </w:t>
      </w:r>
      <w:r>
        <w:t>Üröm</w:t>
      </w:r>
      <w:r w:rsidR="00E41C2C" w:rsidRPr="00E41C2C">
        <w:t xml:space="preserve"> és Dunakeszi)</w:t>
      </w:r>
      <w:r w:rsidR="004764A0">
        <w:t xml:space="preserve">. </w:t>
      </w:r>
      <w:r w:rsidR="004764A0" w:rsidRPr="004764A0">
        <w:t>Az adatok alapján ezeken a területeken a kulturális kohézió tartós és egyértelműen definiálható</w:t>
      </w:r>
      <w:r w:rsidR="004764A0">
        <w:t xml:space="preserve">, hiszen </w:t>
      </w:r>
      <w:r w:rsidR="004764A0" w:rsidRPr="004764A0">
        <w:t>a</w:t>
      </w:r>
      <w:r w:rsidR="004764A0">
        <w:t xml:space="preserve"> vizsgálatok során</w:t>
      </w:r>
      <w:r w:rsidR="009202A5">
        <w:t xml:space="preserve"> </w:t>
      </w:r>
      <w:r w:rsidR="004764A0">
        <w:t>ezek homogenitási értékei konzisztens értéket mutattak mind a statisztikai neuronok, mind a területi stabilitás tekintetében.</w:t>
      </w:r>
      <w:r w:rsidR="00594ADF">
        <w:t xml:space="preserve"> A második a vákuum zónák kategóriája volt (vö. </w:t>
      </w:r>
      <w:r w:rsidR="00E41C2C" w:rsidRPr="00E41C2C">
        <w:t>II., XVII. kerületek, valamint Remeteszőlős, Nagytarcsa, Pécel)</w:t>
      </w:r>
      <w:r w:rsidR="00594ADF">
        <w:t>, melyek úgynevezett átmeneti területek</w:t>
      </w:r>
      <w:r w:rsidR="009202A5">
        <w:t>nek fogható</w:t>
      </w:r>
      <w:r>
        <w:t>k</w:t>
      </w:r>
      <w:r w:rsidR="009202A5">
        <w:t xml:space="preserve"> fel</w:t>
      </w:r>
      <w:r w:rsidR="00594ADF">
        <w:t xml:space="preserve">, mert nem lehetett egyértelműen meghatározni, </w:t>
      </w:r>
      <w:r w:rsidR="009202A5">
        <w:t xml:space="preserve">hogy </w:t>
      </w:r>
      <w:r w:rsidR="00594ADF">
        <w:t xml:space="preserve">a budapesti vagy az agglomerációs kulturális kohézióhoz tartoznak-e. </w:t>
      </w:r>
      <w:r w:rsidR="00594ADF" w:rsidRPr="00594ADF">
        <w:t>E jelenség kialakulása szorosan összefügg a</w:t>
      </w:r>
      <w:r w:rsidR="00594ADF">
        <w:t xml:space="preserve"> napjainkban is tapasztal</w:t>
      </w:r>
      <w:r w:rsidR="009202A5">
        <w:t>t</w:t>
      </w:r>
      <w:r w:rsidR="00594ADF" w:rsidRPr="00594ADF">
        <w:t xml:space="preserve"> szuburbanizációs folyamatokkal</w:t>
      </w:r>
      <w:r w:rsidR="00594ADF">
        <w:t>, miszerint</w:t>
      </w:r>
      <w:r w:rsidR="00594ADF" w:rsidRPr="00594ADF">
        <w:t xml:space="preserve"> a budapesti lakosság egy része kevésbé </w:t>
      </w:r>
      <w:r w:rsidR="00594ADF" w:rsidRPr="00594ADF">
        <w:lastRenderedPageBreak/>
        <w:t xml:space="preserve">urbanizált életmódot </w:t>
      </w:r>
      <w:r w:rsidR="00594ADF">
        <w:t>keres és így</w:t>
      </w:r>
      <w:r w:rsidR="00594ADF" w:rsidRPr="00594ADF">
        <w:t xml:space="preserve"> az agglomeráció településeire költözik</w:t>
      </w:r>
      <w:r w:rsidR="00594ADF">
        <w:t>. Ez a jelenség pedig</w:t>
      </w:r>
      <w:r w:rsidR="00594ADF" w:rsidRPr="00594ADF">
        <w:t xml:space="preserve"> instabil kulturális határzónák</w:t>
      </w:r>
      <w:r w:rsidR="008D6039">
        <w:t xml:space="preserve"> kialakulásához vezet </w:t>
      </w:r>
      <w:r w:rsidR="00594ADF">
        <w:t xml:space="preserve">Budapest és az agglomeráció kohéziója között. </w:t>
      </w:r>
    </w:p>
    <w:p w14:paraId="01736F28" w14:textId="13A74BD6" w:rsidR="002B744F" w:rsidRDefault="00594ADF" w:rsidP="005D2AF3">
      <w:r>
        <w:t xml:space="preserve">Ezek az eredmények értelmezései különösen </w:t>
      </w:r>
      <w:proofErr w:type="spellStart"/>
      <w:r>
        <w:t>fontosak</w:t>
      </w:r>
      <w:proofErr w:type="spellEnd"/>
      <w:r>
        <w:t xml:space="preserve"> lehetnek a kvantum-inspirált szuperpozíciós modellezés szempontjából</w:t>
      </w:r>
      <w:r w:rsidR="009202A5">
        <w:t>, m</w:t>
      </w:r>
      <w:r>
        <w:t xml:space="preserve">ivel a háztartások döntései általában több egyensúlyi állapot képviselnek (pl. belváros előnyei </w:t>
      </w:r>
      <w:proofErr w:type="spellStart"/>
      <w:r>
        <w:t>vs</w:t>
      </w:r>
      <w:proofErr w:type="spellEnd"/>
      <w:r>
        <w:t xml:space="preserve">. agglomeráció előnyei </w:t>
      </w:r>
      <w:proofErr w:type="spellStart"/>
      <w:r w:rsidR="00444646">
        <w:t>vs</w:t>
      </w:r>
      <w:proofErr w:type="spellEnd"/>
      <w:r w:rsidR="00444646">
        <w:t>.</w:t>
      </w:r>
      <w:r>
        <w:t xml:space="preserve"> lakhatási költségek), </w:t>
      </w:r>
      <w:r w:rsidR="00444646">
        <w:t xml:space="preserve">ezért </w:t>
      </w:r>
      <w:r>
        <w:t xml:space="preserve"> </w:t>
      </w:r>
      <w:r w:rsidR="00444646">
        <w:t xml:space="preserve">itt a kvantum-inspirált megközelítés lehetővé tenné, hogy ezeket az állapotokat ne diszkrét kategóriákként modellezük, hanem szuperpozícióként, ahol egy-egy település vagy kerület egyszerre több fejlődési pályán is „mozoghat” mindaddig, ameddig egy külső döntés vagy egy esemény hatására egy fejlődési pályára „rögzül”. </w:t>
      </w:r>
    </w:p>
    <w:p w14:paraId="61D9EDEC" w14:textId="77777777" w:rsidR="001F65F0" w:rsidRPr="003E168A" w:rsidRDefault="001F65F0" w:rsidP="001F65F0">
      <w:pPr>
        <w:pStyle w:val="fejezet2"/>
      </w:pPr>
      <w:bookmarkStart w:id="13" w:name="_Toc215817684"/>
      <w:r w:rsidRPr="003E168A">
        <w:t>Az AI-alapú kutatások és a kvantum-inspirált modellek kapcsolata</w:t>
      </w:r>
      <w:bookmarkEnd w:id="13"/>
    </w:p>
    <w:p w14:paraId="3F63DC81" w14:textId="58FD3E34" w:rsidR="001F65F0" w:rsidRPr="003E168A" w:rsidRDefault="001F65F0" w:rsidP="00CE0D1C">
      <w:r w:rsidRPr="003E168A">
        <w:t>A</w:t>
      </w:r>
      <w:r w:rsidR="00DC0E20" w:rsidRPr="003E168A">
        <w:t>z eddigi alfejezetekben</w:t>
      </w:r>
      <w:r w:rsidRPr="003E168A">
        <w:t xml:space="preserve"> bemutatott három MI-alapú esettanulmány</w:t>
      </w:r>
      <w:r w:rsidR="006A3CB8">
        <w:t xml:space="preserve">ok </w:t>
      </w:r>
      <w:r w:rsidRPr="003E168A">
        <w:t xml:space="preserve">konkrét empirikus bizonyítékokat szolgáltatnak arra, hogy a homogenitás időbeli dinamikája valóban nem-lineáris, válságérzékeny és többállapotú. Ezek az eredmények kiváló alapot nyújtanak a kvantum-inspirált modellek fejlesztésére, amely explicit módon modellezné a szuperpozíciót, a </w:t>
      </w:r>
      <w:proofErr w:type="spellStart"/>
      <w:r w:rsidRPr="003E168A">
        <w:t>dekoherenciát</w:t>
      </w:r>
      <w:proofErr w:type="spellEnd"/>
      <w:r w:rsidRPr="003E168A">
        <w:t>, és a bifurkációkat.</w:t>
      </w:r>
      <w:r w:rsidR="006A3CB8">
        <w:t xml:space="preserve"> </w:t>
      </w:r>
      <w:r w:rsidR="006A3CB8" w:rsidRPr="006A3CB8">
        <w:t xml:space="preserve">A </w:t>
      </w:r>
      <w:r w:rsidR="009202A5">
        <w:t xml:space="preserve">jövőben </w:t>
      </w:r>
      <w:r w:rsidR="006A3CB8" w:rsidRPr="006A3CB8">
        <w:t>tervezett eurozóna HICP kutatás – amely a módszertan következő validációs lépése lenne – tovább erősíthetné ezeket a következtetéseket.</w:t>
      </w:r>
      <w:r w:rsidRPr="003E168A">
        <w:t xml:space="preserve"> A kvantum-inspirált megközelítés tehát nem a korábbi kutatások helyettesítését, hanem azok elméleti megalapozását és továbbfejlesztését </w:t>
      </w:r>
      <w:proofErr w:type="spellStart"/>
      <w:r w:rsidRPr="003E168A">
        <w:t>jelen</w:t>
      </w:r>
      <w:r w:rsidR="009202A5">
        <w:t>ené</w:t>
      </w:r>
      <w:proofErr w:type="spellEnd"/>
      <w:r w:rsidR="00DC0E20" w:rsidRPr="003E168A">
        <w:t>, melyek pontos módszertanát a negyedik fejezetben ismertetem.</w:t>
      </w:r>
    </w:p>
    <w:p w14:paraId="0335A672" w14:textId="2255B6BD" w:rsidR="00A40917" w:rsidRPr="003E168A" w:rsidRDefault="001F65F0" w:rsidP="00A40917">
      <w:pPr>
        <w:pStyle w:val="fejezet1"/>
        <w:rPr>
          <w:lang w:val="hu-HU"/>
        </w:rPr>
      </w:pPr>
      <w:bookmarkStart w:id="14" w:name="_Toc215817685"/>
      <w:r w:rsidRPr="003E168A">
        <w:rPr>
          <w:lang w:val="hu-HU"/>
        </w:rPr>
        <w:t>Kvantum-inspirált m</w:t>
      </w:r>
      <w:r w:rsidR="00A40917" w:rsidRPr="003E168A">
        <w:rPr>
          <w:lang w:val="hu-HU"/>
        </w:rPr>
        <w:t>ódszertani megközelítés</w:t>
      </w:r>
      <w:bookmarkEnd w:id="14"/>
    </w:p>
    <w:p w14:paraId="052CB883" w14:textId="0A415178" w:rsidR="00A40917" w:rsidRPr="003E168A" w:rsidRDefault="00A40917" w:rsidP="009202A5">
      <w:r w:rsidRPr="003E168A">
        <w:t>A tanulmány ajánlott módszertana három kvantumfizikai definíció pillér</w:t>
      </w:r>
      <w:r w:rsidR="001831A8" w:rsidRPr="003E168A">
        <w:t>e</w:t>
      </w:r>
      <w:r w:rsidRPr="003E168A">
        <w:t xml:space="preserve">n nyugszik: </w:t>
      </w:r>
      <w:r w:rsidR="00C10DB6" w:rsidRPr="003E168A">
        <w:t>s</w:t>
      </w:r>
      <w:r w:rsidRPr="003E168A">
        <w:t xml:space="preserve">zuperpozíciós modellezés, </w:t>
      </w:r>
      <w:proofErr w:type="spellStart"/>
      <w:r w:rsidRPr="003E168A">
        <w:t>dekoherancia</w:t>
      </w:r>
      <w:proofErr w:type="spellEnd"/>
      <w:r w:rsidRPr="003E168A">
        <w:t xml:space="preserve">-szimuláció és bifurkáció-detektálás, melyeket ebben a fejezetben részletesen bemutatok. </w:t>
      </w:r>
      <w:r w:rsidR="00F92913">
        <w:t>Itt és most fontos megjegyezni, hogy a módszertan jövőbeni adatvagyona</w:t>
      </w:r>
      <w:r w:rsidR="00DE26A4">
        <w:t xml:space="preserve"> – csakúgy mint az eddigi kutatásainkban – </w:t>
      </w:r>
      <w:r w:rsidR="00F92913">
        <w:t xml:space="preserve">nyilvánosan elérhető, idősoros adatokon </w:t>
      </w:r>
      <w:r w:rsidR="00F85B49">
        <w:t xml:space="preserve">fog </w:t>
      </w:r>
      <w:r w:rsidR="00F92913">
        <w:t>alap</w:t>
      </w:r>
      <w:r w:rsidR="00F85B49">
        <w:t>ulni</w:t>
      </w:r>
      <w:r w:rsidR="00F92913">
        <w:t xml:space="preserve"> (vö. OECD, Eurostat, KSH, </w:t>
      </w:r>
      <w:proofErr w:type="spellStart"/>
      <w:r w:rsidR="00F92913">
        <w:t>TeIR</w:t>
      </w:r>
      <w:proofErr w:type="spellEnd"/>
      <w:r w:rsidR="00F92913">
        <w:t>).</w:t>
      </w:r>
    </w:p>
    <w:p w14:paraId="22A7EF77" w14:textId="77777777" w:rsidR="00A40917" w:rsidRPr="003E168A" w:rsidRDefault="00A40917" w:rsidP="00A40917">
      <w:pPr>
        <w:pStyle w:val="fejezet2"/>
      </w:pPr>
      <w:bookmarkStart w:id="15" w:name="_Toc215817686"/>
      <w:r w:rsidRPr="003E168A">
        <w:t>Szuperpozíciós modellezés és valószínűségi rendszerállapotok</w:t>
      </w:r>
      <w:bookmarkEnd w:id="15"/>
    </w:p>
    <w:p w14:paraId="463AF87E" w14:textId="21D77818" w:rsidR="001F72B1" w:rsidRDefault="00C96793" w:rsidP="00A04BC4">
      <w:pPr>
        <w:ind w:firstLine="0"/>
      </w:pPr>
      <w:r>
        <w:t xml:space="preserve">A </w:t>
      </w:r>
      <w:proofErr w:type="spellStart"/>
      <w:r>
        <w:t>bootstrap</w:t>
      </w:r>
      <w:proofErr w:type="spellEnd"/>
      <w:r>
        <w:t>-eljárás</w:t>
      </w:r>
      <w:r w:rsidR="001F72B1">
        <w:t xml:space="preserve">, </w:t>
      </w:r>
      <w:proofErr w:type="spellStart"/>
      <w:r w:rsidRPr="003E168A">
        <w:t>Efron</w:t>
      </w:r>
      <w:proofErr w:type="spellEnd"/>
      <w:r w:rsidRPr="003E168A">
        <w:t xml:space="preserve"> és </w:t>
      </w:r>
      <w:proofErr w:type="spellStart"/>
      <w:r w:rsidRPr="003E168A">
        <w:t>Tibshirani</w:t>
      </w:r>
      <w:proofErr w:type="spellEnd"/>
      <w:r w:rsidRPr="003E168A">
        <w:t xml:space="preserve"> (1993)</w:t>
      </w:r>
      <w:r>
        <w:t xml:space="preserve"> </w:t>
      </w:r>
      <w:r w:rsidR="001F72B1">
        <w:t>módszertana alapján, lehetőség nyílik arra, hogy a COCO Y0 algoritmus által létrehozott homogenitás-indexek ne csak egy pontbecslés formá</w:t>
      </w:r>
      <w:r w:rsidR="00E00351">
        <w:t>j</w:t>
      </w:r>
      <w:r w:rsidR="001F72B1">
        <w:t xml:space="preserve">ában </w:t>
      </w:r>
      <w:r w:rsidR="00E00351">
        <w:t>létezzenek</w:t>
      </w:r>
      <w:r w:rsidR="001F72B1">
        <w:t xml:space="preserve">, hanem </w:t>
      </w:r>
      <w:r w:rsidR="00E00351">
        <w:t xml:space="preserve">ezek a bizonytalanságát is számszerűsítsük. Ehhez a bemeneti Objektum-Attribútum-Mátrixból (vö. </w:t>
      </w:r>
      <w:r w:rsidR="009D1330">
        <w:t>O</w:t>
      </w:r>
      <w:r w:rsidR="00E00351">
        <w:t xml:space="preserve">AM) többszöri </w:t>
      </w:r>
      <w:proofErr w:type="spellStart"/>
      <w:r w:rsidR="00E00351">
        <w:t>újramintavételezést</w:t>
      </w:r>
      <w:proofErr w:type="spellEnd"/>
      <w:r w:rsidR="00E00351">
        <w:t xml:space="preserve"> végzünk (vö. alternatív világok építése), melyeken egyesével újra futtatjuk a COCO Y0 algoritmust. Az így</w:t>
      </w:r>
      <w:r w:rsidR="00A824B5">
        <w:t xml:space="preserve"> </w:t>
      </w:r>
      <w:r w:rsidR="00A824B5">
        <w:lastRenderedPageBreak/>
        <w:t>eredményül</w:t>
      </w:r>
      <w:r w:rsidR="00E00351">
        <w:t xml:space="preserve"> kapott</w:t>
      </w:r>
      <w:r w:rsidR="00A824B5">
        <w:t xml:space="preserve"> </w:t>
      </w:r>
      <w:r w:rsidR="00E00351">
        <w:t>empirikus eloszlás</w:t>
      </w:r>
      <w:r w:rsidR="00A824B5">
        <w:t xml:space="preserve">ok </w:t>
      </w:r>
      <w:r w:rsidR="00E00351">
        <w:t>megmutatják a várható homogenitás szintet</w:t>
      </w:r>
      <w:r w:rsidR="00A824B5">
        <w:t xml:space="preserve">, valamint </w:t>
      </w:r>
      <w:r w:rsidR="00E00351">
        <w:t>a lehetséges</w:t>
      </w:r>
      <w:r w:rsidR="00A824B5">
        <w:t xml:space="preserve"> homogenitás</w:t>
      </w:r>
      <w:r w:rsidR="00E00351">
        <w:t xml:space="preserve"> eltéréseket is egyaránt. </w:t>
      </w:r>
    </w:p>
    <w:p w14:paraId="620591DE" w14:textId="59C4A9E0" w:rsidR="001F72B1" w:rsidRDefault="00A824B5" w:rsidP="00845264">
      <w:r>
        <w:t xml:space="preserve">Az effajta többállapotú, eloszlásalapú felfogás fogalmilag rokonságban áll a kvantummechanikai szuperpozíció módszertanával, mely szerint egy rendszer egyszerre több lehetséges állapotot is képes felvenni. A hasonlóság a tanulmányban leírtakkal azonban pusztán metaforikus, hiszen a </w:t>
      </w:r>
      <w:proofErr w:type="spellStart"/>
      <w:r>
        <w:t>bootstrap</w:t>
      </w:r>
      <w:proofErr w:type="spellEnd"/>
      <w:r>
        <w:t xml:space="preserve"> egy statisztikai eljárás, nem pedig egy kvantumfizikai módszer, ezért nem mutat valós interferenciát vagy összefonódást sem. A Kvantum-inspirált szuperpozíció ebben a tanulmányban tehát csak egy </w:t>
      </w:r>
      <w:proofErr w:type="spellStart"/>
      <w:r>
        <w:t>szemléletbeli</w:t>
      </w:r>
      <w:proofErr w:type="spellEnd"/>
      <w:r>
        <w:t xml:space="preserve"> kölcsönzés, ami az itt modellezett rendszer komplexitását és a nem-determinisztikus fejlődését hivatott hangsúlyozni. </w:t>
      </w:r>
    </w:p>
    <w:p w14:paraId="698281F7" w14:textId="595A01C6" w:rsidR="00914E0E" w:rsidRPr="003E168A" w:rsidRDefault="00A04BC4" w:rsidP="00907742">
      <w:r>
        <w:t>Ezek alapján a COCO Y0 algoritmus minden alternatív mintán végrehajtva egy olyan eloszlást eredményez, mely alapján meghatározhatóvá válik a medián,</w:t>
      </w:r>
      <w:r w:rsidR="00907742">
        <w:t xml:space="preserve"> konfidencia-intervallumok, szélső értékek, valamint az eloszlás szimmetriája vagy torzulása. Így ez a megközelítés lehetővé teszi a homogenitás eddigieknél jóval sokoldalúbb elemzését, különösen a kockázatok és a váratlan döntések hatására kialakult helyzetek tekintetében. Az itt felvázolt módszertan munkafolyamata a következő konkrét lépésekből áll: </w:t>
      </w:r>
    </w:p>
    <w:p w14:paraId="56853963" w14:textId="4224BE27" w:rsidR="00914E0E" w:rsidRPr="003E168A" w:rsidRDefault="00914E0E" w:rsidP="00CE0D1C">
      <w:pPr>
        <w:pStyle w:val="Listaszerbekezds"/>
        <w:numPr>
          <w:ilvl w:val="0"/>
          <w:numId w:val="17"/>
        </w:numPr>
      </w:pPr>
      <w:proofErr w:type="spellStart"/>
      <w:r w:rsidRPr="003E168A">
        <w:t>Bootstrap</w:t>
      </w:r>
      <w:proofErr w:type="spellEnd"/>
      <w:r w:rsidRPr="003E168A">
        <w:t xml:space="preserve">-minták készítése: Az eredeti Objektum-Attribútum-Mátrixból (OAM) 1000 </w:t>
      </w:r>
      <w:proofErr w:type="spellStart"/>
      <w:r w:rsidRPr="003E168A">
        <w:t>bootstrap</w:t>
      </w:r>
      <w:proofErr w:type="spellEnd"/>
      <w:r w:rsidRPr="003E168A">
        <w:t xml:space="preserve">-minta készítése </w:t>
      </w:r>
      <w:proofErr w:type="spellStart"/>
      <w:r w:rsidRPr="003E168A">
        <w:t>újramintavételezéssel</w:t>
      </w:r>
      <w:proofErr w:type="spellEnd"/>
    </w:p>
    <w:p w14:paraId="60E5E460" w14:textId="19E51775" w:rsidR="00914E0E" w:rsidRPr="003E168A" w:rsidRDefault="00914E0E" w:rsidP="00CE0D1C">
      <w:pPr>
        <w:pStyle w:val="Listaszerbekezds"/>
        <w:numPr>
          <w:ilvl w:val="0"/>
          <w:numId w:val="17"/>
        </w:numPr>
      </w:pPr>
      <w:r w:rsidRPr="003E168A">
        <w:t>COCO Y0 futtatása minden</w:t>
      </w:r>
      <w:r w:rsidR="009D1AE2">
        <w:t xml:space="preserve"> alternatív világ</w:t>
      </w:r>
      <w:r w:rsidRPr="003E168A">
        <w:t xml:space="preserve"> mintán: Minden </w:t>
      </w:r>
      <w:proofErr w:type="spellStart"/>
      <w:r w:rsidRPr="003E168A">
        <w:t>bootstrap</w:t>
      </w:r>
      <w:proofErr w:type="spellEnd"/>
      <w:r w:rsidRPr="003E168A">
        <w:t>-mintán a COCO Y0 algoritmus futtatása, amely 1000 különböző homogenitás-értéket eredményez</w:t>
      </w:r>
    </w:p>
    <w:p w14:paraId="6DD973D3" w14:textId="1E9B90E0" w:rsidR="00914E0E" w:rsidRPr="003E168A" w:rsidRDefault="00914E0E" w:rsidP="00CE0D1C">
      <w:pPr>
        <w:pStyle w:val="Listaszerbekezds"/>
        <w:numPr>
          <w:ilvl w:val="0"/>
          <w:numId w:val="17"/>
        </w:numPr>
      </w:pPr>
      <w:r w:rsidRPr="003E168A">
        <w:t xml:space="preserve">Az </w:t>
      </w:r>
      <w:r w:rsidR="009D1AE2">
        <w:t xml:space="preserve">így létrejött </w:t>
      </w:r>
      <w:r w:rsidRPr="003E168A">
        <w:t xml:space="preserve">1000 eredményből empirikus eloszlás </w:t>
      </w:r>
      <w:r w:rsidR="009D1AE2">
        <w:t>kialakítása</w:t>
      </w:r>
    </w:p>
    <w:p w14:paraId="2DD8B292" w14:textId="1425C46A" w:rsidR="00914E0E" w:rsidRPr="003E168A" w:rsidRDefault="009D1AE2" w:rsidP="00CE0D1C">
      <w:pPr>
        <w:pStyle w:val="Listaszerbekezds"/>
        <w:numPr>
          <w:ilvl w:val="0"/>
          <w:numId w:val="17"/>
        </w:numPr>
      </w:pPr>
      <w:r>
        <w:t>Ezután a</w:t>
      </w:r>
      <w:r w:rsidR="00914E0E" w:rsidRPr="003E168A">
        <w:t>z eloszlásból meghatározható</w:t>
      </w:r>
      <w:r>
        <w:t>vá válik</w:t>
      </w:r>
      <w:r w:rsidR="00914E0E" w:rsidRPr="003E168A">
        <w:t>:</w:t>
      </w:r>
    </w:p>
    <w:p w14:paraId="62F96B52" w14:textId="17D69FA0" w:rsidR="00914E0E" w:rsidRPr="003E168A" w:rsidRDefault="00914E0E" w:rsidP="00CE0D1C">
      <w:pPr>
        <w:pStyle w:val="Listaszerbekezds"/>
        <w:numPr>
          <w:ilvl w:val="0"/>
          <w:numId w:val="17"/>
        </w:numPr>
      </w:pPr>
      <w:r w:rsidRPr="003E168A">
        <w:t>A várható érték (medián)</w:t>
      </w:r>
    </w:p>
    <w:p w14:paraId="5E04A3E2" w14:textId="3A73CF18" w:rsidR="00914E0E" w:rsidRPr="003E168A" w:rsidRDefault="00914E0E" w:rsidP="00CE0D1C">
      <w:pPr>
        <w:pStyle w:val="Listaszerbekezds"/>
        <w:numPr>
          <w:ilvl w:val="0"/>
          <w:numId w:val="17"/>
        </w:numPr>
      </w:pPr>
      <w:r w:rsidRPr="003E168A">
        <w:t>A konfidencia-intervallum</w:t>
      </w:r>
    </w:p>
    <w:p w14:paraId="45F51DB9" w14:textId="34D6D7F2" w:rsidR="00914E0E" w:rsidRPr="003E168A" w:rsidRDefault="00914E0E" w:rsidP="00CE0D1C">
      <w:pPr>
        <w:pStyle w:val="Listaszerbekezds"/>
        <w:numPr>
          <w:ilvl w:val="0"/>
          <w:numId w:val="17"/>
        </w:numPr>
      </w:pPr>
      <w:r w:rsidRPr="003E168A">
        <w:t>A szélső értékek (minimum, maximum)</w:t>
      </w:r>
    </w:p>
    <w:p w14:paraId="665E0978" w14:textId="3F48094F" w:rsidR="00327084" w:rsidRDefault="00914E0E" w:rsidP="00CE0D1C">
      <w:pPr>
        <w:pStyle w:val="Listaszerbekezds"/>
        <w:numPr>
          <w:ilvl w:val="0"/>
          <w:numId w:val="17"/>
        </w:numPr>
      </w:pPr>
      <w:r w:rsidRPr="003E168A">
        <w:t xml:space="preserve">Az eloszlás alakja (szimmetrikus </w:t>
      </w:r>
      <w:proofErr w:type="spellStart"/>
      <w:r w:rsidRPr="003E168A">
        <w:t>vs</w:t>
      </w:r>
      <w:proofErr w:type="spellEnd"/>
      <w:r w:rsidRPr="003E168A">
        <w:t>. aszimmetrikus)</w:t>
      </w:r>
      <w:r w:rsidR="00327084" w:rsidRPr="003E168A">
        <w:t xml:space="preserve"> </w:t>
      </w:r>
    </w:p>
    <w:p w14:paraId="62313D8E" w14:textId="375EADAD" w:rsidR="006769C5" w:rsidRPr="003E168A" w:rsidRDefault="009D1AE2" w:rsidP="00CE0D1C">
      <w:r>
        <w:t xml:space="preserve">Fontos </w:t>
      </w:r>
      <w:r w:rsidR="008A0945">
        <w:t>megemlíteni</w:t>
      </w:r>
      <w:r>
        <w:t xml:space="preserve">, hogy az itt felvázolt </w:t>
      </w:r>
      <w:proofErr w:type="spellStart"/>
      <w:r>
        <w:t>bootstrap</w:t>
      </w:r>
      <w:proofErr w:type="spellEnd"/>
      <w:r>
        <w:t>-</w:t>
      </w:r>
      <w:r w:rsidR="006769C5">
        <w:t xml:space="preserve">eljárás </w:t>
      </w:r>
      <w:r w:rsidR="006769C5" w:rsidRPr="006769C5">
        <w:t xml:space="preserve">többszörös végrehajtása jelentős számítási kapacitást igényel, ezért </w:t>
      </w:r>
      <w:r>
        <w:t>abban az esetben, ha valós időben elemezzük az adatokat,</w:t>
      </w:r>
      <w:r w:rsidR="006769C5" w:rsidRPr="006769C5">
        <w:t xml:space="preserve"> GPU-gyorsítás alkalmazás</w:t>
      </w:r>
      <w:r w:rsidR="006769C5">
        <w:t>ára lesz</w:t>
      </w:r>
      <w:r w:rsidR="006769C5" w:rsidRPr="006769C5">
        <w:t xml:space="preserve"> szüksé</w:t>
      </w:r>
      <w:r w:rsidR="006769C5">
        <w:t>g</w:t>
      </w:r>
      <w:r w:rsidR="006769C5" w:rsidRPr="006769C5">
        <w:t xml:space="preserve"> a párhuzamos mintavételezéshez és az eloszlások gyors előállításához (</w:t>
      </w:r>
      <w:proofErr w:type="spellStart"/>
      <w:r w:rsidR="006769C5" w:rsidRPr="006769C5">
        <w:t>Biamonte</w:t>
      </w:r>
      <w:proofErr w:type="spellEnd"/>
      <w:r w:rsidR="006769C5" w:rsidRPr="006769C5">
        <w:t xml:space="preserve">, </w:t>
      </w:r>
      <w:proofErr w:type="spellStart"/>
      <w:r w:rsidR="006769C5" w:rsidRPr="006769C5">
        <w:t>Schuld</w:t>
      </w:r>
      <w:proofErr w:type="spellEnd"/>
      <w:r w:rsidR="006769C5" w:rsidRPr="006769C5">
        <w:t xml:space="preserve"> &amp; Lloyd, 2017).</w:t>
      </w:r>
      <w:r w:rsidR="007F0D31">
        <w:t xml:space="preserve"> Egy 1000 </w:t>
      </w:r>
      <w:proofErr w:type="spellStart"/>
      <w:r w:rsidR="007F0D31">
        <w:t>bootstrap</w:t>
      </w:r>
      <w:proofErr w:type="spellEnd"/>
      <w:r w:rsidR="007F0D31">
        <w:t xml:space="preserve">-mintás szimuláció a fent említett </w:t>
      </w:r>
      <w:r w:rsidR="00601661">
        <w:t>GPU</w:t>
      </w:r>
      <w:r w:rsidR="007F0D31">
        <w:t xml:space="preserve"> használatával kb. 5-10 percet vesz igénybe, míg ugyanez egy hagyományos CPU-val 1-2 óra lenne.</w:t>
      </w:r>
      <w:r>
        <w:t xml:space="preserve"> Ezért javasolt a nagy kapacitással bíró számítástechnikai eszközök beszerzése.</w:t>
      </w:r>
    </w:p>
    <w:p w14:paraId="1B02FD2F" w14:textId="1BAA1FB1" w:rsidR="00A40917" w:rsidRPr="003E168A" w:rsidRDefault="00A40917" w:rsidP="00A40917">
      <w:pPr>
        <w:pStyle w:val="fejezet2"/>
      </w:pPr>
      <w:bookmarkStart w:id="16" w:name="_Toc215817687"/>
      <w:proofErr w:type="spellStart"/>
      <w:r w:rsidRPr="003E168A">
        <w:lastRenderedPageBreak/>
        <w:t>Dekoherencia</w:t>
      </w:r>
      <w:proofErr w:type="spellEnd"/>
      <w:r w:rsidRPr="003E168A">
        <w:t>-szimuláció</w:t>
      </w:r>
      <w:bookmarkEnd w:id="16"/>
    </w:p>
    <w:p w14:paraId="1C45BA6A" w14:textId="624C2F6D" w:rsidR="00371FAD" w:rsidRDefault="00474C87" w:rsidP="00CE0D1C">
      <w:r w:rsidRPr="003E168A">
        <w:t xml:space="preserve">A </w:t>
      </w:r>
      <w:proofErr w:type="spellStart"/>
      <w:r w:rsidRPr="003E168A">
        <w:t>dekoherencia</w:t>
      </w:r>
      <w:proofErr w:type="spellEnd"/>
      <w:r w:rsidRPr="003E168A">
        <w:t>-szimuláció</w:t>
      </w:r>
      <w:r w:rsidR="00371FAD">
        <w:t xml:space="preserve"> </w:t>
      </w:r>
      <w:r w:rsidRPr="003E168A">
        <w:t>a</w:t>
      </w:r>
      <w:r w:rsidR="00371FAD">
        <w:t xml:space="preserve"> homogenitás mérés </w:t>
      </w:r>
      <w:r w:rsidR="00907742">
        <w:t>értelmében</w:t>
      </w:r>
      <w:r w:rsidR="00371FAD">
        <w:t xml:space="preserve"> azt mutatja meg</w:t>
      </w:r>
      <w:r w:rsidRPr="003E168A">
        <w:t>,</w:t>
      </w:r>
      <w:r w:rsidR="00371FAD">
        <w:t xml:space="preserve"> hogy</w:t>
      </w:r>
      <w:r w:rsidRPr="003E168A">
        <w:t xml:space="preserve"> </w:t>
      </w:r>
      <w:r w:rsidR="00371FAD">
        <w:t xml:space="preserve">a </w:t>
      </w:r>
      <w:r w:rsidR="00371FAD" w:rsidRPr="003E168A">
        <w:t xml:space="preserve">válságok </w:t>
      </w:r>
      <w:r w:rsidR="00371FAD">
        <w:t xml:space="preserve">vagy a politikai döntések </w:t>
      </w:r>
      <w:r w:rsidR="00371FAD" w:rsidRPr="003E168A">
        <w:t xml:space="preserve">hatására </w:t>
      </w:r>
      <w:r w:rsidRPr="003E168A">
        <w:t xml:space="preserve">hogyan bomlanak fel </w:t>
      </w:r>
      <w:r w:rsidR="00371FAD">
        <w:t xml:space="preserve">az eddigi </w:t>
      </w:r>
      <w:r w:rsidRPr="003E168A">
        <w:t>egységes gazdasági állapotok</w:t>
      </w:r>
      <w:r w:rsidR="00371FAD">
        <w:t xml:space="preserve">. Ennek segítségével megvizsgálhatjuk tehát, hogy a különböző erősségű válságforgatókönyvek miként hatnak a regionális vagy az országok közötti kohézióra. </w:t>
      </w:r>
    </w:p>
    <w:p w14:paraId="2BE99BAC" w14:textId="460198D0" w:rsidR="00474C87" w:rsidRPr="003E168A" w:rsidRDefault="00474C87" w:rsidP="00CE0D1C">
      <w:proofErr w:type="spellStart"/>
      <w:r w:rsidRPr="003E168A">
        <w:t>Scheffer</w:t>
      </w:r>
      <w:proofErr w:type="spellEnd"/>
      <w:r w:rsidRPr="003E168A">
        <w:t xml:space="preserve"> (2009) kutatás</w:t>
      </w:r>
      <w:r w:rsidR="00371FAD">
        <w:t>ában rámutatott arra</w:t>
      </w:r>
      <w:r w:rsidRPr="003E168A">
        <w:t xml:space="preserve">, hogy </w:t>
      </w:r>
      <w:r w:rsidR="00371FAD">
        <w:t xml:space="preserve">a </w:t>
      </w:r>
      <w:r w:rsidRPr="003E168A">
        <w:t>komplex rendszerekben a fokozatos</w:t>
      </w:r>
      <w:r w:rsidR="00371FAD">
        <w:t>, lassú</w:t>
      </w:r>
      <w:r w:rsidRPr="003E168A">
        <w:t xml:space="preserve"> környezeti változások hirtelen, katasztrofális átmeneteket válthatnak ki egy kritikus ponton túl. </w:t>
      </w:r>
      <w:proofErr w:type="spellStart"/>
      <w:r w:rsidRPr="003E168A">
        <w:t>Barro</w:t>
      </w:r>
      <w:proofErr w:type="spellEnd"/>
      <w:r w:rsidRPr="003E168A">
        <w:t xml:space="preserve"> és </w:t>
      </w:r>
      <w:proofErr w:type="spellStart"/>
      <w:r w:rsidRPr="003E168A">
        <w:t>Sala</w:t>
      </w:r>
      <w:proofErr w:type="spellEnd"/>
      <w:r w:rsidRPr="003E168A">
        <w:t xml:space="preserve">-i-Martin (1991, 1992) neoklasszikus konvergenciaelmélete </w:t>
      </w:r>
      <w:r w:rsidR="00907742">
        <w:t>pedig</w:t>
      </w:r>
      <w:r w:rsidRPr="003E168A">
        <w:t xml:space="preserve"> rámutat</w:t>
      </w:r>
      <w:r w:rsidR="00371FAD">
        <w:t>ott</w:t>
      </w:r>
      <w:r w:rsidRPr="003E168A">
        <w:t xml:space="preserve"> arra, hogy a gazdasági rendszerek viselkedése az egyensúly közelében nemlineárisan változhat, azaz a kis változások váratlanul nagy hatásokat okozhatnak. </w:t>
      </w:r>
      <w:proofErr w:type="spellStart"/>
      <w:r w:rsidRPr="003E168A">
        <w:t>Orrell</w:t>
      </w:r>
      <w:proofErr w:type="spellEnd"/>
      <w:r w:rsidRPr="003E168A">
        <w:t xml:space="preserve"> (2018) szerint pedig a </w:t>
      </w:r>
      <w:r w:rsidR="007F0D31">
        <w:t>kvantum-valószínűségi megközelítés módszertana különösen hasznos lehet a pénzügyi válságok modellezésében, ahol a hagyományos egyensúlyi feltételezések nem állják meg a helyüket</w:t>
      </w:r>
      <w:r w:rsidRPr="003E168A">
        <w:t xml:space="preserve">. </w:t>
      </w:r>
      <w:proofErr w:type="spellStart"/>
      <w:r w:rsidRPr="003E168A">
        <w:t>Ampudia</w:t>
      </w:r>
      <w:proofErr w:type="spellEnd"/>
      <w:r w:rsidRPr="003E168A">
        <w:t xml:space="preserve"> és munkatársai (20</w:t>
      </w:r>
      <w:r w:rsidR="00477EBB">
        <w:t>18</w:t>
      </w:r>
      <w:r w:rsidRPr="003E168A">
        <w:t>) az infláció elemzésében kimutatták, hogy a monetáris politika hatása</w:t>
      </w:r>
      <w:r w:rsidR="00BA015B">
        <w:t>i</w:t>
      </w:r>
      <w:r w:rsidRPr="003E168A">
        <w:t xml:space="preserve"> nem egységes</w:t>
      </w:r>
      <w:r w:rsidR="00BA015B">
        <w:t xml:space="preserve"> minden országban</w:t>
      </w:r>
      <w:r w:rsidRPr="003E168A">
        <w:t>, hanem a jövedelmi csoportok mentén eltérően jelentkezik, ami szintén alátámasztja a többállapotú, valószínűségi modellek szükségességét</w:t>
      </w:r>
      <w:r w:rsidR="005B002F">
        <w:t xml:space="preserve"> a gazdaságban</w:t>
      </w:r>
      <w:r w:rsidRPr="003E168A">
        <w:t>.</w:t>
      </w:r>
    </w:p>
    <w:p w14:paraId="0A44BDA5" w14:textId="05AAD94A" w:rsidR="00972FAC" w:rsidRPr="00972FAC" w:rsidRDefault="00972FAC" w:rsidP="00CE0D1C">
      <w:r w:rsidRPr="00972FAC">
        <w:t>Ezen kutatások eredményei arra engednek következtetni, hogy a társadalmi-gazdasági rendszerek viselkedése alapvetően kvantum-jellegű</w:t>
      </w:r>
      <w:r w:rsidR="00A15B0D">
        <w:t>ek</w:t>
      </w:r>
      <w:r w:rsidRPr="00972FAC">
        <w:t xml:space="preserve">, azaz nem lineárisan fejlődnek, hanem többállapotú rendszerként működnek, ahol a külső sokkok </w:t>
      </w:r>
      <w:r w:rsidR="006A2215">
        <w:t xml:space="preserve">a belső homogenitás megváltozását idézik elő. </w:t>
      </w:r>
      <w:r w:rsidRPr="00972FAC">
        <w:t>Különösen jó példa erre a 2022-ben kialakult energiaválság: 2021 elején az eurozóna országai között az inflációs ráták még csak egy-két százalékponttal tértek el egymástól, ami viszonylag egységes gazdasági helyzetet jelzett, azonban 2022 végére ez az eltérés már tíz százalékpontra nőtt, vagyis az eurozóna gazdasági kohéziója jelentősen megbomlott. Ez az átmenet nem volt előre jelezhető a hagyományos lineáris modellekkel</w:t>
      </w:r>
      <w:r w:rsidR="00907742">
        <w:t xml:space="preserve">, ami </w:t>
      </w:r>
      <w:r w:rsidRPr="00972FAC">
        <w:t xml:space="preserve">igazolja, </w:t>
      </w:r>
      <w:r w:rsidR="00907742">
        <w:t xml:space="preserve">hogy </w:t>
      </w:r>
      <w:r w:rsidRPr="00972FAC">
        <w:t>a kvantum-inspirált megközelítés</w:t>
      </w:r>
      <w:r>
        <w:t xml:space="preserve"> valósághű</w:t>
      </w:r>
      <w:r w:rsidRPr="00972FAC">
        <w:t xml:space="preserve"> elméleti keretet nyújt</w:t>
      </w:r>
      <w:r>
        <w:t>hat</w:t>
      </w:r>
      <w:r w:rsidRPr="00972FAC">
        <w:t xml:space="preserve"> a jövőbeli korai </w:t>
      </w:r>
      <w:r>
        <w:t>észlelési</w:t>
      </w:r>
      <w:r w:rsidRPr="00972FAC">
        <w:t xml:space="preserve"> rendszerek fejlesztéséhe</w:t>
      </w:r>
      <w:r w:rsidR="00907742">
        <w:t xml:space="preserve">z, </w:t>
      </w:r>
      <w:r w:rsidR="001F4433">
        <w:t>melyekhez</w:t>
      </w:r>
      <w:r w:rsidR="00907742">
        <w:t xml:space="preserve"> a </w:t>
      </w:r>
      <w:proofErr w:type="spellStart"/>
      <w:r w:rsidR="00907742">
        <w:t>dekoherancia</w:t>
      </w:r>
      <w:proofErr w:type="spellEnd"/>
      <w:r w:rsidR="00907742">
        <w:t xml:space="preserve"> </w:t>
      </w:r>
      <w:r w:rsidR="001F4433">
        <w:t>szimulációja elengedhetetlen</w:t>
      </w:r>
      <w:r w:rsidRPr="00972FAC">
        <w:t>.</w:t>
      </w:r>
    </w:p>
    <w:p w14:paraId="10943F5E" w14:textId="4746D093" w:rsidR="00A40917" w:rsidRPr="003E168A" w:rsidRDefault="00A40917" w:rsidP="00972FAC">
      <w:pPr>
        <w:pStyle w:val="fejezet2"/>
      </w:pPr>
      <w:bookmarkStart w:id="17" w:name="_Toc215817688"/>
      <w:r w:rsidRPr="003E168A">
        <w:t>Bifurkáció-detektálás</w:t>
      </w:r>
      <w:bookmarkEnd w:id="17"/>
    </w:p>
    <w:p w14:paraId="1176A614" w14:textId="05C9EB80" w:rsidR="00A76D80" w:rsidRDefault="00A76D80" w:rsidP="00CE0D1C">
      <w:r w:rsidRPr="00A76D80">
        <w:t xml:space="preserve">A </w:t>
      </w:r>
      <w:r w:rsidR="00747F9E">
        <w:t>tanulmány</w:t>
      </w:r>
      <w:r w:rsidRPr="00A76D80">
        <w:t xml:space="preserve"> egyik kiemelt célja</w:t>
      </w:r>
      <w:r>
        <w:t xml:space="preserve"> egy</w:t>
      </w:r>
      <w:r w:rsidRPr="00A76D80">
        <w:t xml:space="preserve"> olyan automatizált</w:t>
      </w:r>
      <w:r>
        <w:t xml:space="preserve"> és adat vezérelt</w:t>
      </w:r>
      <w:r w:rsidRPr="00A76D80">
        <w:t xml:space="preserve"> módsze</w:t>
      </w:r>
      <w:r>
        <w:t>r</w:t>
      </w:r>
      <w:r w:rsidRPr="00A76D80">
        <w:t xml:space="preserve"> kidolgozása, amely felismer</w:t>
      </w:r>
      <w:r>
        <w:t>i</w:t>
      </w:r>
      <w:r w:rsidRPr="00A76D80">
        <w:t xml:space="preserve"> a kritikus töréspontokat, mielőtt azok bekövetkeznének. </w:t>
      </w:r>
      <w:proofErr w:type="spellStart"/>
      <w:r w:rsidRPr="00A76D80">
        <w:t>Kuehn</w:t>
      </w:r>
      <w:proofErr w:type="spellEnd"/>
      <w:r w:rsidRPr="00A76D80">
        <w:t xml:space="preserve"> (2011) matematikai elemzése kimutatta, hogy amikor egy rendszer egy kritikus pont közelébe ér,</w:t>
      </w:r>
      <w:r>
        <w:t xml:space="preserve"> a vizsgált változók (</w:t>
      </w:r>
      <w:r w:rsidR="008C5F62">
        <w:t>vö.</w:t>
      </w:r>
      <w:r>
        <w:t xml:space="preserve"> inflációs ráták, banki hitelállományok) ingadozása megnövekszik, az adatok közötti összefüggések erőssége fokozódik, valamint a külső sokkok után a rendszer lassabban tér vissza korábbi állapotába.</w:t>
      </w:r>
      <w:r w:rsidR="00963136">
        <w:t xml:space="preserve"> </w:t>
      </w:r>
      <w:proofErr w:type="spellStart"/>
      <w:r w:rsidRPr="00A76D80">
        <w:t>Dakos</w:t>
      </w:r>
      <w:proofErr w:type="spellEnd"/>
      <w:r w:rsidRPr="00A76D80">
        <w:t xml:space="preserve"> és munkatársai (2016) különböző rendszerekben tesztelték </w:t>
      </w:r>
      <w:proofErr w:type="spellStart"/>
      <w:r w:rsidR="008C5F62">
        <w:t>Kuehn</w:t>
      </w:r>
      <w:proofErr w:type="spellEnd"/>
      <w:r w:rsidR="008C5F62">
        <w:t xml:space="preserve"> által felvázolt jelzések megbízhatóságát, és</w:t>
      </w:r>
      <w:r w:rsidRPr="00A76D80">
        <w:t xml:space="preserve"> </w:t>
      </w:r>
      <w:r w:rsidR="008C5F62">
        <w:t>m</w:t>
      </w:r>
      <w:r w:rsidRPr="00A76D80">
        <w:t xml:space="preserve">egállapították, hogy a külső </w:t>
      </w:r>
      <w:r w:rsidRPr="00A76D80">
        <w:lastRenderedPageBreak/>
        <w:t>változások sebessége</w:t>
      </w:r>
      <w:r w:rsidR="008C5F62">
        <w:t xml:space="preserve"> is</w:t>
      </w:r>
      <w:r w:rsidRPr="00A76D80">
        <w:t xml:space="preserve"> jelentősen befolyásolja,</w:t>
      </w:r>
      <w:r w:rsidR="008C5F62">
        <w:t xml:space="preserve"> a kritikus pontok előrejelzésének pontosságát</w:t>
      </w:r>
      <w:r w:rsidRPr="00A76D80">
        <w:t xml:space="preserve">. </w:t>
      </w:r>
      <w:proofErr w:type="spellStart"/>
      <w:r w:rsidRPr="00A76D80">
        <w:t>Scheffer</w:t>
      </w:r>
      <w:proofErr w:type="spellEnd"/>
      <w:r w:rsidRPr="00A76D80">
        <w:t xml:space="preserve"> és munkatársai (2009) pedig azt mutatták ki, hogy </w:t>
      </w:r>
      <w:r w:rsidR="008C5F62" w:rsidRPr="00A76D80">
        <w:t>a válságok közeledtével</w:t>
      </w:r>
      <w:r w:rsidR="001F4433">
        <w:t xml:space="preserve"> </w:t>
      </w:r>
      <w:r w:rsidR="001F4433" w:rsidRPr="00A76D80">
        <w:t>szinte minden komplex rendszerben</w:t>
      </w:r>
      <w:r w:rsidR="008C5F62" w:rsidRPr="00A76D80">
        <w:t xml:space="preserve"> </w:t>
      </w:r>
      <w:r w:rsidRPr="00A76D80">
        <w:t>három fő figyelmeztető jel figyelhető meg: növekvő ingadozás, erősödő korreláció az adatok között, és lassabb helyreállás a zavarok után. Jó példa erre a 2008-as pénzügyi válság, amikor az európai bankszektor adatainak ingadozása már 2006 és 2007 között jelentősen megnövekedett, ami előre jelezte a közelgő válságot. Sajnos ez</w:t>
      </w:r>
      <w:r w:rsidR="001F4433">
        <w:t>eket</w:t>
      </w:r>
      <w:r w:rsidRPr="00A76D80">
        <w:t xml:space="preserve"> a figyelmeztető jele</w:t>
      </w:r>
      <w:r w:rsidR="001F4433">
        <w:t>ket</w:t>
      </w:r>
      <w:r w:rsidRPr="00A76D80">
        <w:t xml:space="preserve"> akkoriban nem vették figyelembe a döntéshozók (</w:t>
      </w:r>
      <w:proofErr w:type="spellStart"/>
      <w:r w:rsidRPr="00A76D80">
        <w:t>Atkinson</w:t>
      </w:r>
      <w:proofErr w:type="spellEnd"/>
      <w:r w:rsidRPr="00A76D80">
        <w:t xml:space="preserve"> &amp; </w:t>
      </w:r>
      <w:proofErr w:type="spellStart"/>
      <w:r w:rsidRPr="00A76D80">
        <w:t>Morelli</w:t>
      </w:r>
      <w:proofErr w:type="spellEnd"/>
      <w:r w:rsidRPr="00A76D80">
        <w:t>, 2015).</w:t>
      </w:r>
    </w:p>
    <w:p w14:paraId="04FC5D5D" w14:textId="1F013479" w:rsidR="00D16E1A" w:rsidRDefault="00D16E1A" w:rsidP="00CE0D1C">
      <w:r>
        <w:t>Az</w:t>
      </w:r>
      <w:r w:rsidRPr="00D16E1A">
        <w:t xml:space="preserve"> eurozóna HICP inflációs homogenitásának esetében </w:t>
      </w:r>
      <w:r>
        <w:t xml:space="preserve">ezt a </w:t>
      </w:r>
      <w:r w:rsidRPr="00D16E1A">
        <w:t>módszer</w:t>
      </w:r>
      <w:r>
        <w:t>t</w:t>
      </w:r>
      <w:r w:rsidRPr="00D16E1A">
        <w:t xml:space="preserve"> úgy</w:t>
      </w:r>
      <w:r>
        <w:t xml:space="preserve"> lehetne megvalósítani</w:t>
      </w:r>
      <w:r w:rsidR="00963136">
        <w:t xml:space="preserve"> például</w:t>
      </w:r>
      <w:r w:rsidRPr="00D16E1A">
        <w:t xml:space="preserve">, hogy a </w:t>
      </w:r>
      <w:proofErr w:type="spellStart"/>
      <w:r w:rsidRPr="00D16E1A">
        <w:t>bootstrap-ból</w:t>
      </w:r>
      <w:proofErr w:type="spellEnd"/>
      <w:r w:rsidRPr="00D16E1A">
        <w:t xml:space="preserve"> származó homogenitás-eloszlások idősoraira </w:t>
      </w:r>
      <w:r w:rsidR="00963136">
        <w:t>mozgó</w:t>
      </w:r>
      <w:r w:rsidRPr="00D16E1A">
        <w:t xml:space="preserve"> ablakkal kiszámítjuk a </w:t>
      </w:r>
      <w:proofErr w:type="spellStart"/>
      <w:r w:rsidRPr="00D16E1A">
        <w:t>Scheffer</w:t>
      </w:r>
      <w:proofErr w:type="spellEnd"/>
      <w:r w:rsidRPr="00D16E1A">
        <w:t>-indikátorokat (</w:t>
      </w:r>
      <w:r w:rsidR="00963136">
        <w:t xml:space="preserve">vö. </w:t>
      </w:r>
      <w:r w:rsidRPr="00D16E1A">
        <w:t xml:space="preserve">variancia, </w:t>
      </w:r>
      <w:proofErr w:type="spellStart"/>
      <w:r w:rsidRPr="00D16E1A">
        <w:t>autokorreláció</w:t>
      </w:r>
      <w:proofErr w:type="spellEnd"/>
      <w:r w:rsidRPr="00D16E1A">
        <w:t xml:space="preserve">, helyreállási idő), majd statisztikai </w:t>
      </w:r>
      <w:r>
        <w:t>vizsgálatokkal</w:t>
      </w:r>
      <w:r w:rsidRPr="00D16E1A">
        <w:t xml:space="preserve"> azonosítjuk azokat az időszakokat, amikor ezek szignifikánsan növekednek.</w:t>
      </w:r>
      <w:r>
        <w:t xml:space="preserve"> V</w:t>
      </w:r>
      <w:r w:rsidRPr="00D16E1A">
        <w:t>alidációként a 2021-2022-es energiaválság előtti adatok vizsgálata szolgál</w:t>
      </w:r>
      <w:r>
        <w:t>na</w:t>
      </w:r>
      <w:r w:rsidRPr="00D16E1A">
        <w:t>, amely igazolhatja</w:t>
      </w:r>
      <w:r>
        <w:t xml:space="preserve"> vagy cáfolhatja a módszer gyakorlati működését.</w:t>
      </w:r>
      <w:r w:rsidRPr="00D16E1A">
        <w:t xml:space="preserve"> </w:t>
      </w:r>
    </w:p>
    <w:p w14:paraId="2245CCD5" w14:textId="6555A746" w:rsidR="008D408A" w:rsidRDefault="008D408A" w:rsidP="008A0AE9">
      <w:pPr>
        <w:pStyle w:val="fejezet2"/>
      </w:pPr>
      <w:bookmarkStart w:id="18" w:name="_Toc215817689"/>
      <w:r>
        <w:t>Az önvezető rendszerek és a kvantum-inspirált homogenitás modellezés kapcsolata</w:t>
      </w:r>
      <w:bookmarkEnd w:id="18"/>
    </w:p>
    <w:p w14:paraId="534B3198" w14:textId="41BCA3A2" w:rsidR="008D408A" w:rsidRDefault="008D408A" w:rsidP="008A0AE9">
      <w:pPr>
        <w:ind w:firstLine="0"/>
      </w:pPr>
      <w:r>
        <w:t>Az önvezető autonóm járművek döntési rendszereinek működése kiváló példát nyújtanak az általam elképzelt kvantum-inspirált társadalmi-gazdasági modellek működésének megértéséhez, hiszen ezek éppen olyan összetett és bizonytalan környezetben „dolgoznak” mint</w:t>
      </w:r>
      <w:r w:rsidR="001F4433">
        <w:t xml:space="preserve"> amilyen</w:t>
      </w:r>
      <w:r>
        <w:t xml:space="preserve"> a legtöbb gazdasági környezet, ahol az összes lehetséges kimenetel előre nem ismert. </w:t>
      </w:r>
      <w:proofErr w:type="spellStart"/>
      <w:r w:rsidRPr="008D408A">
        <w:t>Baum</w:t>
      </w:r>
      <w:proofErr w:type="spellEnd"/>
      <w:r w:rsidRPr="008D408A">
        <w:t xml:space="preserve">, </w:t>
      </w:r>
      <w:proofErr w:type="spellStart"/>
      <w:r w:rsidRPr="008D408A">
        <w:t>Gokhale</w:t>
      </w:r>
      <w:proofErr w:type="spellEnd"/>
      <w:r w:rsidRPr="008D408A">
        <w:t xml:space="preserve"> és </w:t>
      </w:r>
      <w:proofErr w:type="spellStart"/>
      <w:r w:rsidRPr="008D408A">
        <w:t>Pistoia</w:t>
      </w:r>
      <w:proofErr w:type="spellEnd"/>
      <w:r w:rsidRPr="008D408A">
        <w:t xml:space="preserve"> (2019)</w:t>
      </w:r>
      <w:r>
        <w:t xml:space="preserve"> </w:t>
      </w:r>
      <w:r w:rsidR="00A0381F">
        <w:t>munkájukban bemutatják, hogy ezek a mai modern rendszerek nem egyetlen optimális útvonalon mozognak, hanem valós időben dolgoznak fel több lehetséges jövőbeli útvonalat.</w:t>
      </w:r>
      <w:r w:rsidR="00762412">
        <w:t xml:space="preserve"> </w:t>
      </w:r>
      <w:r w:rsidR="00A0381F">
        <w:t xml:space="preserve">Ezek a rendszerek folyamatosan kezelik a bizonytalan helyzeteket (kamera, radar és szenzor adatok segítségével), valós időben párhuzamosan vizsgálják a lehetséges forgatókönyveket (vö. a gyalogos balra fordul, jobbra fordul vagy megáll), és a bekövetkezés valószínűségére támaszkodva hozza meg a döntéseket (például 85% az esély arra, hogy a gyalogos megáll), mindezt rendkívüli gyorsasággal a GPU gyorsításnak köszönhetően. </w:t>
      </w:r>
      <w:r w:rsidR="00762412" w:rsidRPr="00762412">
        <w:t>Habár e módszerek nem explicit kvantum-inspiráltak</w:t>
      </w:r>
      <w:r w:rsidR="00762412">
        <w:t xml:space="preserve">, </w:t>
      </w:r>
      <w:r w:rsidR="001F4433">
        <w:t xml:space="preserve">az </w:t>
      </w:r>
      <w:r w:rsidR="00A541D1">
        <w:t>előzőekben felsorolt tulajdonságok</w:t>
      </w:r>
      <w:r w:rsidR="001F4433">
        <w:t xml:space="preserve"> mégis</w:t>
      </w:r>
      <w:r w:rsidR="00A541D1">
        <w:t xml:space="preserve"> szoros kapcsolatban állnak a kvantum-inspirált homogenitás modellezés szuperpozíciós megközelítésével, mely szerint egy régió, ország vagy város jövőben fejlődési pályája nem egyetlen pályán mozoghat, hanem több egyidejűleg létező jövőbeni fejlődési környezetben mozog, melyben az automatizált </w:t>
      </w:r>
      <w:proofErr w:type="spellStart"/>
      <w:r w:rsidR="00A541D1">
        <w:t>Scheffer</w:t>
      </w:r>
      <w:proofErr w:type="spellEnd"/>
      <w:r w:rsidR="00A541D1">
        <w:t xml:space="preserve">-indikátorok </w:t>
      </w:r>
      <w:proofErr w:type="spellStart"/>
      <w:r w:rsidR="00DE7CD2">
        <w:t>monitorizálása</w:t>
      </w:r>
      <w:proofErr w:type="spellEnd"/>
      <w:r w:rsidR="00A541D1">
        <w:t xml:space="preserve"> </w:t>
      </w:r>
      <w:r w:rsidR="00DE7CD2">
        <w:t xml:space="preserve">lehetőséget biztosít a váratlan események (válságok) valós idejű felderítésére. </w:t>
      </w:r>
    </w:p>
    <w:p w14:paraId="103C9B59" w14:textId="2E1DE6A5" w:rsidR="008D408A" w:rsidRDefault="00DE7CD2" w:rsidP="008A0AE9">
      <w:r>
        <w:t xml:space="preserve">Az önvezető autókban </w:t>
      </w:r>
      <w:proofErr w:type="spellStart"/>
      <w:r>
        <w:t>dekoherancia</w:t>
      </w:r>
      <w:proofErr w:type="spellEnd"/>
      <w:r>
        <w:t xml:space="preserve"> állapot akkor következik be, amikor egy koherens (vö. biztonságos) állapot váratlan külső hatások hatására szétesik, és </w:t>
      </w:r>
      <w:r w:rsidR="001F4433">
        <w:t>ennek következtében</w:t>
      </w:r>
      <w:r>
        <w:t xml:space="preserve"> az autó </w:t>
      </w:r>
      <w:r w:rsidR="001F4433">
        <w:t xml:space="preserve">a </w:t>
      </w:r>
      <w:r w:rsidR="001F4433">
        <w:lastRenderedPageBreak/>
        <w:t xml:space="preserve">probléma megoldásához </w:t>
      </w:r>
      <w:r>
        <w:t>kénytelen egy új kezelési módra váltani. Ez</w:t>
      </w:r>
      <w:r w:rsidR="001F4433">
        <w:t xml:space="preserve"> a szcenárió</w:t>
      </w:r>
      <w:r>
        <w:t xml:space="preserve"> gazdasági </w:t>
      </w:r>
      <w:r w:rsidR="001F4433">
        <w:t>szempontból</w:t>
      </w:r>
      <w:r>
        <w:t xml:space="preserve"> megfelel a 2022-es inflációs válság környezetének, ahol 2021 végéig viszonylag stabil volt az EU-s infláció, de 2022-ben az energiasokk hatására ez a koherencia szétesett és az egyes országok inflációs pályái radikálisan eltértek egymástól (vö. akár 10%-os eltérések).</w:t>
      </w:r>
      <w:r w:rsidR="008A0AE9">
        <w:t xml:space="preserve"> Éppen ezért az automatizált </w:t>
      </w:r>
      <w:proofErr w:type="spellStart"/>
      <w:r w:rsidR="008A0AE9">
        <w:t>dekoherancia</w:t>
      </w:r>
      <w:proofErr w:type="spellEnd"/>
      <w:r w:rsidR="008A0AE9">
        <w:t xml:space="preserve"> figyelés fontos aspektusa a válságkezelésnek</w:t>
      </w:r>
      <w:r w:rsidR="006D02E3">
        <w:t xml:space="preserve"> is</w:t>
      </w:r>
      <w:r w:rsidR="008A0AE9">
        <w:t xml:space="preserve">.  </w:t>
      </w:r>
      <w:r>
        <w:t xml:space="preserve"> </w:t>
      </w:r>
    </w:p>
    <w:p w14:paraId="13986B7B" w14:textId="42791EE7" w:rsidR="00A40917" w:rsidRPr="003E168A" w:rsidRDefault="00A40917" w:rsidP="00A76D80">
      <w:pPr>
        <w:pStyle w:val="fejezet1"/>
        <w:rPr>
          <w:lang w:val="hu-HU"/>
        </w:rPr>
      </w:pPr>
      <w:bookmarkStart w:id="19" w:name="_Toc215817690"/>
      <w:r w:rsidRPr="003E168A">
        <w:rPr>
          <w:lang w:val="hu-HU"/>
        </w:rPr>
        <w:t xml:space="preserve">A modell előnyei és </w:t>
      </w:r>
      <w:r w:rsidR="00D31817">
        <w:rPr>
          <w:lang w:val="hu-HU"/>
        </w:rPr>
        <w:t xml:space="preserve">gyakorlati </w:t>
      </w:r>
      <w:r w:rsidRPr="003E168A">
        <w:rPr>
          <w:lang w:val="hu-HU"/>
        </w:rPr>
        <w:t>alkalmazhatósága</w:t>
      </w:r>
      <w:bookmarkEnd w:id="19"/>
    </w:p>
    <w:p w14:paraId="57B3D361" w14:textId="13E3AA52" w:rsidR="00B57DD9" w:rsidRDefault="00B57DD9" w:rsidP="00CE0D1C">
      <w:r>
        <w:t xml:space="preserve">A kvantum-inspirált homogenitás modellek egyik legnagyobb előnye, hogy valószínűségi eloszlásokkal dolgozik, a hagyományos pontértékű modellekkel szemben. Így az egyetlen „legjobb becslés” értéke helyett a kvantum-inspirált megközelítés teljes szcenárió-térképet mutat, ami robosztus és időben gyors kockázatkezelést </w:t>
      </w:r>
      <w:r w:rsidR="001F4433">
        <w:t>eredményez</w:t>
      </w:r>
      <w:r>
        <w:t xml:space="preserve">. </w:t>
      </w:r>
    </w:p>
    <w:p w14:paraId="0E7C1830" w14:textId="77FC76DF" w:rsidR="00B57DD9" w:rsidRDefault="00B57DD9" w:rsidP="002F05AA">
      <w:pPr>
        <w:pStyle w:val="fejezet2"/>
      </w:pPr>
      <w:bookmarkStart w:id="20" w:name="_Toc215817691"/>
      <w:r>
        <w:t xml:space="preserve">Korai válságjelző </w:t>
      </w:r>
      <w:r w:rsidR="002F05AA">
        <w:t>rendszerek</w:t>
      </w:r>
      <w:bookmarkEnd w:id="20"/>
    </w:p>
    <w:p w14:paraId="38AFAEF7" w14:textId="3EE65400" w:rsidR="00B57DD9" w:rsidRDefault="00B57DD9" w:rsidP="005D2AF3">
      <w:r>
        <w:t xml:space="preserve">A </w:t>
      </w:r>
      <w:proofErr w:type="spellStart"/>
      <w:r>
        <w:t>Scheffer</w:t>
      </w:r>
      <w:proofErr w:type="spellEnd"/>
      <w:r>
        <w:t>-indikátorok (vö. variancia, autókorreláció, helyreállás) automatizált monitorozásával körülbelül már 6-12 hónappal a válság bekövetkezte előtt figyelmeztetés adható. A korábbi EU-</w:t>
      </w:r>
      <w:proofErr w:type="spellStart"/>
      <w:r>
        <w:t>homogenizációs</w:t>
      </w:r>
      <w:proofErr w:type="spellEnd"/>
      <w:r>
        <w:t xml:space="preserve"> kutatásban használt OECD adatbázis öt – vagy akár több – mutatója </w:t>
      </w:r>
      <w:proofErr w:type="spellStart"/>
      <w:r>
        <w:t>bootstrap</w:t>
      </w:r>
      <w:proofErr w:type="spellEnd"/>
      <w:r>
        <w:t xml:space="preserve"> módszerrel ezer vagy még ennél is több eloszlást is generálhat az 1995-2025 közötti időszakra vonatkozóan.</w:t>
      </w:r>
      <w:r w:rsidR="00CE59A9">
        <w:t xml:space="preserve"> Ha ezekre az adatokra alkalmazzuk a </w:t>
      </w:r>
      <w:proofErr w:type="spellStart"/>
      <w:r w:rsidR="00CE59A9">
        <w:t>Scheffer</w:t>
      </w:r>
      <w:proofErr w:type="spellEnd"/>
      <w:r w:rsidR="00CE59A9">
        <w:t>-indikátorok módszertanát, akkor valós időben detektálhatóvá válhat a bifurkáció közeledése is.</w:t>
      </w:r>
      <w:r w:rsidR="006F724C">
        <w:t xml:space="preserve"> </w:t>
      </w:r>
      <w:r w:rsidR="00CE0A0E">
        <w:t xml:space="preserve">A </w:t>
      </w:r>
      <w:r w:rsidR="00F11F2A">
        <w:t>tanulmány</w:t>
      </w:r>
      <w:r w:rsidR="00CE0A0E">
        <w:t xml:space="preserve"> j</w:t>
      </w:r>
      <w:r w:rsidR="00CE0A0E" w:rsidRPr="00CE0A0E">
        <w:t>avasolt jövőbeli kutatási irány</w:t>
      </w:r>
      <w:r w:rsidR="00CE0A0E">
        <w:t>a</w:t>
      </w:r>
      <w:r w:rsidR="00CE0A0E" w:rsidRPr="00CE0A0E">
        <w:t xml:space="preserve"> az eurozóna HICP inflációs adatainak 2000-2025 közötti vizsgálata, amely </w:t>
      </w:r>
      <w:proofErr w:type="spellStart"/>
      <w:r w:rsidR="00CE0A0E" w:rsidRPr="00CE0A0E">
        <w:t>validálhatná</w:t>
      </w:r>
      <w:proofErr w:type="spellEnd"/>
      <w:r w:rsidR="00CE0A0E" w:rsidRPr="00CE0A0E">
        <w:t xml:space="preserve"> a </w:t>
      </w:r>
      <w:proofErr w:type="spellStart"/>
      <w:r w:rsidR="00CE0A0E" w:rsidRPr="00CE0A0E">
        <w:t>Scheffer</w:t>
      </w:r>
      <w:proofErr w:type="spellEnd"/>
      <w:r w:rsidR="00CE0A0E" w:rsidRPr="00CE0A0E">
        <w:t>-indikátorok alkalmazhatóságát a gazdasági bifurkációk előrejelzésében</w:t>
      </w:r>
      <w:r w:rsidR="00CE0A0E">
        <w:t xml:space="preserve"> is.</w:t>
      </w:r>
    </w:p>
    <w:p w14:paraId="10CE7A74" w14:textId="0FFC3E67" w:rsidR="00DC7AFD" w:rsidRDefault="00DC7AFD" w:rsidP="002F05AA">
      <w:pPr>
        <w:pStyle w:val="fejezet2"/>
      </w:pPr>
      <w:bookmarkStart w:id="21" w:name="_Toc215817692"/>
      <w:r>
        <w:t>Többszcenáriós politikai döntéstámogatás</w:t>
      </w:r>
      <w:bookmarkEnd w:id="21"/>
    </w:p>
    <w:p w14:paraId="2A1B0CCE" w14:textId="25314929" w:rsidR="00DC7AFD" w:rsidRDefault="00DC7AFD" w:rsidP="00CE0D1C">
      <w:r>
        <w:t xml:space="preserve">A korábbiakban már említett </w:t>
      </w:r>
      <w:proofErr w:type="spellStart"/>
      <w:r>
        <w:t>bootstrap</w:t>
      </w:r>
      <w:proofErr w:type="spellEnd"/>
      <w:r>
        <w:t>-alapú szuperpozíciós modellezés módszertana politikai döntések támogatására is használható, hiszen ennek segítségével nem csak egyetlen jövőbeli fejlődési pályát</w:t>
      </w:r>
      <w:r w:rsidR="00B875E9">
        <w:t xml:space="preserve"> kapunk output adatként</w:t>
      </w:r>
      <w:r>
        <w:t xml:space="preserve">, hanem akár ezer lehetséges </w:t>
      </w:r>
      <w:r w:rsidR="00B875E9">
        <w:t>jövőben</w:t>
      </w:r>
      <w:r w:rsidR="00F11F2A">
        <w:t>i</w:t>
      </w:r>
      <w:r w:rsidR="00B875E9">
        <w:t xml:space="preserve"> </w:t>
      </w:r>
      <w:r>
        <w:t xml:space="preserve">forgatókönyv </w:t>
      </w:r>
      <w:r w:rsidR="00B875E9">
        <w:t xml:space="preserve">(például 2023-2035 között) </w:t>
      </w:r>
      <w:r>
        <w:t>párhuzamos elemzésére is sor kerülhet</w:t>
      </w:r>
      <w:r w:rsidR="00B875E9">
        <w:t>. Így a kohéziós források priorizálása a legrosszabb forgatókönyvek alapján történhet, azaz például ha egy ország homogenitása az előrejelzések szerint tíz százalékkal csökken, akkor ennek megelőzésére célzott intézkedéseket</w:t>
      </w:r>
      <w:r w:rsidR="009350D8">
        <w:t xml:space="preserve"> (vö. támogatásokat)</w:t>
      </w:r>
      <w:r w:rsidR="00B875E9">
        <w:t xml:space="preserve"> kell tervezni.</w:t>
      </w:r>
    </w:p>
    <w:p w14:paraId="09BA1A23" w14:textId="71CB20B3" w:rsidR="00B875E9" w:rsidRDefault="00B875E9" w:rsidP="00CE0D1C">
      <w:r>
        <w:t xml:space="preserve">Ezt a módszert regionális és városi dimenziókban is </w:t>
      </w:r>
      <w:proofErr w:type="spellStart"/>
      <w:r>
        <w:t>lehet</w:t>
      </w:r>
      <w:r w:rsidR="00F11F2A">
        <w:t>alkalmazni</w:t>
      </w:r>
      <w:proofErr w:type="spellEnd"/>
      <w:r>
        <w:t xml:space="preserve">. </w:t>
      </w:r>
      <w:r w:rsidR="009350D8">
        <w:t xml:space="preserve">A </w:t>
      </w:r>
      <w:r>
        <w:t xml:space="preserve">Mezőföld </w:t>
      </w:r>
      <w:r w:rsidR="009350D8">
        <w:t>vagy bármelyik más magyarországi vagy külföldi régió tekintetében, a módszer alkalmazásával azonosíthatóvá válnak azon régión belüli települések, melyek kritikus bifurkációs pontokat jelentenek az egész régióra nézve</w:t>
      </w:r>
      <w:r w:rsidR="00053E3B">
        <w:t xml:space="preserve">, melyek alapján célzott intézkedéseket lehet tervezni. Városi szinten az eljárás segítségével pontosan számszerűsíthetővé válnak a „vákuum zónák” – azok </w:t>
      </w:r>
      <w:r w:rsidR="00053E3B">
        <w:lastRenderedPageBreak/>
        <w:t>a területek melyekről nem lehet egyértelműen megállapítani, hogy a városi vagy az agglomerációs mintázatba sorolhatóak-e b</w:t>
      </w:r>
      <w:r w:rsidR="00395808">
        <w:t>e – és azok jövőbeni viselkedései</w:t>
      </w:r>
      <w:r w:rsidR="00053E3B">
        <w:t xml:space="preserve">. Ezek alapján célzott hibrid városfejlesztési stratégiák dolgozhatók ki. </w:t>
      </w:r>
      <w:r w:rsidR="009350D8">
        <w:t xml:space="preserve"> </w:t>
      </w:r>
    </w:p>
    <w:p w14:paraId="593D5839" w14:textId="4EF47E7B" w:rsidR="00B875E9" w:rsidRDefault="00395808" w:rsidP="002F05AA">
      <w:pPr>
        <w:pStyle w:val="fejezet2"/>
      </w:pPr>
      <w:bookmarkStart w:id="22" w:name="_Toc215817693"/>
      <w:r>
        <w:t>Objektív, automatizált monitoring</w:t>
      </w:r>
      <w:bookmarkEnd w:id="22"/>
    </w:p>
    <w:p w14:paraId="4EA08F7F" w14:textId="609F0FA6" w:rsidR="000379F8" w:rsidRDefault="00395808" w:rsidP="00CE0D1C">
      <w:r>
        <w:t xml:space="preserve">A COCO Y0 algoritmus és a </w:t>
      </w:r>
      <w:proofErr w:type="spellStart"/>
      <w:r>
        <w:t>bootstrap</w:t>
      </w:r>
      <w:proofErr w:type="spellEnd"/>
      <w:r>
        <w:t xml:space="preserve"> módszer </w:t>
      </w:r>
      <w:r w:rsidR="000379F8">
        <w:t>együttese teljes mértékben adat vezérelt,</w:t>
      </w:r>
      <w:r w:rsidR="00F11F2A">
        <w:t xml:space="preserve"> valamint</w:t>
      </w:r>
      <w:r w:rsidR="000379F8">
        <w:t xml:space="preserve"> a szubjektív szakértői előfeltételezése</w:t>
      </w:r>
      <w:r w:rsidR="00F11F2A">
        <w:t>ktől független</w:t>
      </w:r>
      <w:r w:rsidR="000379F8">
        <w:t>. Ez eljárás során előállított kimeneti eloszlási adatok minden esetben visszavezethetőek a bemeneti változókra</w:t>
      </w:r>
      <w:r w:rsidR="00F11F2A">
        <w:t>, ami</w:t>
      </w:r>
      <w:r w:rsidR="000379F8">
        <w:t xml:space="preserve"> garantálja a </w:t>
      </w:r>
      <w:r w:rsidR="00186090">
        <w:t>modellezés</w:t>
      </w:r>
      <w:r w:rsidR="000379F8">
        <w:t xml:space="preserve"> objektivitását, és az </w:t>
      </w:r>
      <w:proofErr w:type="spellStart"/>
      <w:r w:rsidR="000379F8">
        <w:t>adatvezérelt</w:t>
      </w:r>
      <w:proofErr w:type="spellEnd"/>
      <w:r w:rsidR="000379F8">
        <w:t xml:space="preserve"> gazdasági elemzések, politikai döntések megalapozottságát. </w:t>
      </w:r>
    </w:p>
    <w:p w14:paraId="1DF6BC27" w14:textId="2F9D5067" w:rsidR="00395808" w:rsidRDefault="00CE0A0E" w:rsidP="00CE0D1C">
      <w:r>
        <w:t>E</w:t>
      </w:r>
      <w:r w:rsidR="00186090">
        <w:t xml:space="preserve">z </w:t>
      </w:r>
      <w:r w:rsidR="00F11F2A">
        <w:t xml:space="preserve">az </w:t>
      </w:r>
      <w:r w:rsidR="00186090">
        <w:t>applikáció</w:t>
      </w:r>
      <w:r>
        <w:t xml:space="preserve"> potenciálisan</w:t>
      </w:r>
      <w:r w:rsidR="00186090">
        <w:t xml:space="preserve"> </w:t>
      </w:r>
      <w:r w:rsidR="000379F8">
        <w:t xml:space="preserve">az Európai Bizottság DG REGIO (vö. </w:t>
      </w:r>
      <w:proofErr w:type="spellStart"/>
      <w:r w:rsidR="000379F8" w:rsidRPr="000379F8">
        <w:t>Directorate</w:t>
      </w:r>
      <w:proofErr w:type="spellEnd"/>
      <w:r w:rsidR="000379F8" w:rsidRPr="000379F8">
        <w:t xml:space="preserve">-General </w:t>
      </w:r>
      <w:proofErr w:type="spellStart"/>
      <w:r w:rsidR="000379F8" w:rsidRPr="000379F8">
        <w:t>for</w:t>
      </w:r>
      <w:proofErr w:type="spellEnd"/>
      <w:r w:rsidR="000379F8" w:rsidRPr="000379F8">
        <w:t xml:space="preserve"> </w:t>
      </w:r>
      <w:proofErr w:type="spellStart"/>
      <w:r w:rsidR="000379F8" w:rsidRPr="000379F8">
        <w:t>Regional</w:t>
      </w:r>
      <w:proofErr w:type="spellEnd"/>
      <w:r w:rsidR="000379F8" w:rsidRPr="000379F8">
        <w:t xml:space="preserve"> and Urban Policy</w:t>
      </w:r>
      <w:r w:rsidR="000379F8">
        <w:t>) uniós főigazgatóság</w:t>
      </w:r>
      <w:r w:rsidR="00F11F2A">
        <w:t xml:space="preserve"> és az országok városfejlesztésében résztvevő politikusok, vagy </w:t>
      </w:r>
      <w:proofErr w:type="spellStart"/>
      <w:r w:rsidR="00F11F2A">
        <w:t>megáncégek</w:t>
      </w:r>
      <w:proofErr w:type="spellEnd"/>
      <w:r w:rsidR="00186090">
        <w:t xml:space="preserve"> számára jelentené a legnagyobb hozzáadott értéket, </w:t>
      </w:r>
      <w:r>
        <w:t>mivel</w:t>
      </w:r>
      <w:r w:rsidR="00186090">
        <w:t xml:space="preserve"> az input adatok havonta frissülnek Eurostat</w:t>
      </w:r>
      <w:r w:rsidR="00F11F2A">
        <w:t>,</w:t>
      </w:r>
      <w:r w:rsidR="00186090">
        <w:t xml:space="preserve"> OECD </w:t>
      </w:r>
      <w:r w:rsidR="00F11F2A">
        <w:t xml:space="preserve">vagy akár a helyi adatbázisokban megtalálható bemeneti </w:t>
      </w:r>
      <w:r w:rsidR="00186090">
        <w:t>adatokkal, az algoritmusok automatikusan</w:t>
      </w:r>
      <w:r>
        <w:t>,</w:t>
      </w:r>
      <w:r w:rsidR="00186090">
        <w:t xml:space="preserve"> havonta lefutnak és ezek eredményei alapján, pedig szintén automatikus figyelmeztető üzeneteket küld, ha egy régióban vagy tagállamban a bifurkáció-indikátorok aktiválódnak. Ez objektív, átlátható és valós időben történő döntéstámogatást biztosit. </w:t>
      </w:r>
    </w:p>
    <w:p w14:paraId="14D6E2F6" w14:textId="129517AB" w:rsidR="00B57DD9" w:rsidRDefault="00824676" w:rsidP="002F05AA">
      <w:pPr>
        <w:pStyle w:val="fejezet2"/>
      </w:pPr>
      <w:bookmarkStart w:id="23" w:name="_Toc215817694"/>
      <w:r>
        <w:t>Interdiszciplináris</w:t>
      </w:r>
      <w:r w:rsidR="00186090">
        <w:t xml:space="preserve"> alkalmazhatóság</w:t>
      </w:r>
      <w:bookmarkEnd w:id="23"/>
    </w:p>
    <w:p w14:paraId="7D5473C1" w14:textId="0F3BDA71" w:rsidR="00824676" w:rsidRDefault="00824676" w:rsidP="00CE0D1C">
      <w:r>
        <w:t xml:space="preserve">Fontos megjegyezni, hogy az itt bemutatott módszer nem korlátozódik </w:t>
      </w:r>
      <w:r w:rsidR="008A2D86">
        <w:t>csak és kizárólag a</w:t>
      </w:r>
      <w:r>
        <w:t xml:space="preserve"> gazdasági homogenitás</w:t>
      </w:r>
      <w:r w:rsidR="008A2D86">
        <w:t xml:space="preserve"> kérdéskör</w:t>
      </w:r>
      <w:r w:rsidR="00F11F2A">
        <w:t>ére</w:t>
      </w:r>
      <w:r>
        <w:t>.</w:t>
      </w:r>
      <w:r w:rsidR="008A2D86">
        <w:t xml:space="preserve"> Az eddig alkalmazott modellezési módszertannak köszönhetően, bemeneti adat szempontból lényegében bármely idősoros adat felhasználható.</w:t>
      </w:r>
      <w:r>
        <w:t xml:space="preserve"> </w:t>
      </w:r>
      <w:r w:rsidR="008A2D86">
        <w:t xml:space="preserve">Így </w:t>
      </w:r>
      <w:r>
        <w:t xml:space="preserve">a modell adaptálható például környezeti fenntarthatóság (vö. települések közötti levegőminőség, vízminőség), egészségügyi egyenlőtlenségek (vö. egészségügyi hozzáférés régiónként), valamint oktatási kohézió (vö. iskolák közötti teljesítmény különbségek, pedagógusok számának bifurkációs elemzése) területeken is. </w:t>
      </w:r>
    </w:p>
    <w:p w14:paraId="635B1781" w14:textId="6A6208E2" w:rsidR="008A2D86" w:rsidRDefault="008A2D86" w:rsidP="002F05AA">
      <w:pPr>
        <w:pStyle w:val="fejezet2"/>
      </w:pPr>
      <w:bookmarkStart w:id="24" w:name="_Toc215817695"/>
      <w:r>
        <w:t>Technológiai feltételek</w:t>
      </w:r>
      <w:bookmarkEnd w:id="24"/>
    </w:p>
    <w:p w14:paraId="28138E84" w14:textId="33C4A79D" w:rsidR="00D66A24" w:rsidRDefault="008A2D86" w:rsidP="00CE0D1C">
      <w:r>
        <w:t xml:space="preserve">A </w:t>
      </w:r>
      <w:r w:rsidR="00CC4EAD">
        <w:t>tanulmányban</w:t>
      </w:r>
      <w:r>
        <w:t xml:space="preserve"> bemutatott módszer megvalósítása teljes mértékben megvalósítható a ma</w:t>
      </w:r>
      <w:r w:rsidR="00CC4EAD">
        <w:t xml:space="preserve">napság </w:t>
      </w:r>
      <w:r>
        <w:t xml:space="preserve">elérhető technológiák segítségével. A szoftver környezet (vö. Python: </w:t>
      </w:r>
      <w:proofErr w:type="spellStart"/>
      <w:r>
        <w:t>pandas</w:t>
      </w:r>
      <w:proofErr w:type="spellEnd"/>
      <w:r>
        <w:t xml:space="preserve">, </w:t>
      </w:r>
      <w:proofErr w:type="spellStart"/>
      <w:r>
        <w:t>numpy</w:t>
      </w:r>
      <w:proofErr w:type="spellEnd"/>
      <w:r>
        <w:t xml:space="preserve">, </w:t>
      </w:r>
      <w:proofErr w:type="spellStart"/>
      <w:r>
        <w:t>scipy</w:t>
      </w:r>
      <w:proofErr w:type="spellEnd"/>
      <w:r>
        <w:t xml:space="preserve">, </w:t>
      </w:r>
      <w:proofErr w:type="spellStart"/>
      <w:r>
        <w:t>statsmodells</w:t>
      </w:r>
      <w:proofErr w:type="spellEnd"/>
      <w:r>
        <w:t>) és a COCO Y0 API-n keresztül való elérése kivitelezhető</w:t>
      </w:r>
      <w:r w:rsidR="00CC4EAD">
        <w:t xml:space="preserve">, ezek összekapcsolása kisebb programozási időt igényelhet, melyhez </w:t>
      </w:r>
      <w:r>
        <w:t>egy közepes teljesítményű számítógép NVIDIA RTX 3060 GPU-</w:t>
      </w:r>
      <w:proofErr w:type="spellStart"/>
      <w:r>
        <w:t>val</w:t>
      </w:r>
      <w:proofErr w:type="spellEnd"/>
      <w:r>
        <w:t xml:space="preserve"> elegendő. Az adatvagyon forrásai, azaz az OECD API, a KSH és </w:t>
      </w:r>
      <w:proofErr w:type="spellStart"/>
      <w:r>
        <w:t>TEiR</w:t>
      </w:r>
      <w:proofErr w:type="spellEnd"/>
      <w:r>
        <w:t xml:space="preserve"> adatbázisok, valamint az Eurostat és EKB API-ok nyílt hozzáféréssel rendelkeznek, így ezek ingyenesek.</w:t>
      </w:r>
    </w:p>
    <w:p w14:paraId="4B47805F" w14:textId="77777777" w:rsidR="00A40917" w:rsidRPr="003E168A" w:rsidRDefault="00A40917" w:rsidP="00A40917">
      <w:pPr>
        <w:pStyle w:val="fejezet1"/>
        <w:rPr>
          <w:lang w:val="hu-HU"/>
        </w:rPr>
      </w:pPr>
      <w:bookmarkStart w:id="25" w:name="_Toc215817696"/>
      <w:r w:rsidRPr="003E168A">
        <w:rPr>
          <w:lang w:val="hu-HU"/>
        </w:rPr>
        <w:lastRenderedPageBreak/>
        <w:t>Szakpolitikai és etikai következmények</w:t>
      </w:r>
      <w:bookmarkEnd w:id="25"/>
    </w:p>
    <w:p w14:paraId="7906E2CD" w14:textId="78FBEBA5" w:rsidR="00D66A24" w:rsidRDefault="00C4667D" w:rsidP="00CE0D1C">
      <w:r>
        <w:t xml:space="preserve">A kvantum-inspirált homogenitás modellek bevezetése nagy mértékben </w:t>
      </w:r>
      <w:r w:rsidR="00CC4EAD">
        <w:t>átalakíthatja</w:t>
      </w:r>
      <w:r>
        <w:t xml:space="preserve"> a </w:t>
      </w:r>
      <w:r w:rsidR="00CC4EAD">
        <w:t>napjainkban</w:t>
      </w:r>
      <w:r>
        <w:t xml:space="preserve"> alkalmazott hazai és uniós szakpolitikai döntéshozatali gyakorlatot. Ez az eloszlás alapú megközelítés </w:t>
      </w:r>
      <w:r w:rsidR="00D66A24">
        <w:t xml:space="preserve">– amely a kohéziót nem egyszerű pontértékként, hanem </w:t>
      </w:r>
      <w:r w:rsidR="00CC4EAD">
        <w:t>valószínűségi</w:t>
      </w:r>
      <w:r w:rsidR="00D66A24">
        <w:t xml:space="preserve"> tartományként írja le – lehetőséget biztosít a forrásallokáció, a regionális fejlesztési prioritások és a </w:t>
      </w:r>
      <w:r w:rsidR="00CC4EAD">
        <w:t>gazdasági</w:t>
      </w:r>
      <w:r w:rsidR="00D66A24">
        <w:t xml:space="preserve"> stabilitás proaktív megfigyelésére és kezelésére is egyaránt. A tanulmányban bemutatott kvantum-modell nyújtotta objektivitás – különös tekintettel az automatizált riasztó rendszerek</w:t>
      </w:r>
      <w:r w:rsidR="00CC4EAD">
        <w:t>re</w:t>
      </w:r>
      <w:r w:rsidR="00D66A24">
        <w:t xml:space="preserve"> – lehetővé teszi, hogy a döntéshozók már a válságok kialakulása előtt olyan döntéseket hozzanak, melyekkel minimalizálhatják a rendszer szintű instabilitást</w:t>
      </w:r>
      <w:r w:rsidR="00CC4EAD">
        <w:t xml:space="preserve"> és az azokból fakadó negatív gazdasági hatásokat.</w:t>
      </w:r>
    </w:p>
    <w:p w14:paraId="18B58BF8" w14:textId="4081C075" w:rsidR="00C4667D" w:rsidRDefault="00D66A24" w:rsidP="00CE0D1C">
      <w:r>
        <w:t>Az elmúlt években közzétett EKB kutatásaira támaszkodva elmondható, hogy az egységes monetáris politika</w:t>
      </w:r>
      <w:r w:rsidR="00C46071">
        <w:t xml:space="preserve"> hatásai országonként, háztartástípusonként és jövedelmi csoportonként jelentősen eltér, így ezeknek az intézkedéseknek sokféle hatása realizálódik a társadalomban. Ezért annak érdekében, hogy reális visszacsatolást kapjunk az intézkedések valódi társadalmi hatásairól, az eddigi lineáris modellek (átlagok stb.) helyett célszerűbb lenne a kvantum-inspirált modellek alkalmazása</w:t>
      </w:r>
      <w:r w:rsidR="00CC4EAD">
        <w:t xml:space="preserve"> e téren is</w:t>
      </w:r>
      <w:r w:rsidR="00C46071">
        <w:t xml:space="preserve">. Egész egyszerűen azért, mert ezek a tradicionális modellek elfedik a szélsőségeket és ezzel együtt az aszimmetriákat is </w:t>
      </w:r>
      <w:r w:rsidR="00C46071" w:rsidRPr="00C46071">
        <w:t>(</w:t>
      </w:r>
      <w:proofErr w:type="spellStart"/>
      <w:r w:rsidR="000B49BB" w:rsidRPr="000B49BB">
        <w:t>Ampudia</w:t>
      </w:r>
      <w:proofErr w:type="spellEnd"/>
      <w:r w:rsidR="000B49BB" w:rsidRPr="000B49BB">
        <w:t xml:space="preserve"> </w:t>
      </w:r>
      <w:proofErr w:type="spellStart"/>
      <w:r w:rsidR="000B49BB" w:rsidRPr="000B49BB">
        <w:t>et</w:t>
      </w:r>
      <w:proofErr w:type="spellEnd"/>
      <w:r w:rsidR="000B49BB" w:rsidRPr="000B49BB">
        <w:t xml:space="preserve"> </w:t>
      </w:r>
      <w:proofErr w:type="spellStart"/>
      <w:r w:rsidR="000B49BB" w:rsidRPr="000B49BB">
        <w:t>al</w:t>
      </w:r>
      <w:proofErr w:type="spellEnd"/>
      <w:r w:rsidR="000B49BB" w:rsidRPr="000B49BB">
        <w:t xml:space="preserve">., 2018; </w:t>
      </w:r>
      <w:proofErr w:type="spellStart"/>
      <w:r w:rsidR="000B49BB" w:rsidRPr="000B49BB">
        <w:t>Bundesbank</w:t>
      </w:r>
      <w:proofErr w:type="spellEnd"/>
      <w:r w:rsidR="000B49BB" w:rsidRPr="000B49BB">
        <w:t xml:space="preserve">, 2023; </w:t>
      </w:r>
      <w:proofErr w:type="spellStart"/>
      <w:r w:rsidR="000B49BB" w:rsidRPr="000B49BB">
        <w:t>Benassy-Quéré</w:t>
      </w:r>
      <w:proofErr w:type="spellEnd"/>
      <w:r w:rsidR="000B49BB" w:rsidRPr="000B49BB">
        <w:t xml:space="preserve"> </w:t>
      </w:r>
      <w:proofErr w:type="spellStart"/>
      <w:r w:rsidR="000B49BB" w:rsidRPr="000B49BB">
        <w:t>et</w:t>
      </w:r>
      <w:proofErr w:type="spellEnd"/>
      <w:r w:rsidR="000B49BB" w:rsidRPr="000B49BB">
        <w:t xml:space="preserve"> </w:t>
      </w:r>
      <w:proofErr w:type="spellStart"/>
      <w:r w:rsidR="000B49BB" w:rsidRPr="000B49BB">
        <w:t>al</w:t>
      </w:r>
      <w:proofErr w:type="spellEnd"/>
      <w:r w:rsidR="000B49BB" w:rsidRPr="000B49BB">
        <w:t>., 2025; ECB, 2024; SUERF, 2025</w:t>
      </w:r>
      <w:r w:rsidR="00C46071" w:rsidRPr="00C46071">
        <w:t>)</w:t>
      </w:r>
      <w:r w:rsidR="00B604C3">
        <w:t xml:space="preserve">. A valószínűségi szcenáriók és a </w:t>
      </w:r>
      <w:proofErr w:type="spellStart"/>
      <w:r w:rsidR="00B604C3">
        <w:t>dekoherencia</w:t>
      </w:r>
      <w:proofErr w:type="spellEnd"/>
      <w:r w:rsidR="00B604C3">
        <w:t xml:space="preserve">-szimulációk segítségével pontosabb képet kapunk arról, hogy az egyes döntések milyen kockázatokkal járhatnak (vö. a </w:t>
      </w:r>
      <w:proofErr w:type="spellStart"/>
      <w:r w:rsidR="00B604C3">
        <w:t>dekoherenciához</w:t>
      </w:r>
      <w:proofErr w:type="spellEnd"/>
      <w:r w:rsidR="00B604C3">
        <w:t xml:space="preserve"> vezető, kritikus állapotokhoz való közeledés esélyét is modellezni lehetne). </w:t>
      </w:r>
    </w:p>
    <w:p w14:paraId="02FBE674" w14:textId="4DA37F85" w:rsidR="00B604C3" w:rsidRDefault="00B604C3" w:rsidP="00CE0D1C">
      <w:r>
        <w:t xml:space="preserve"> Természetesen</w:t>
      </w:r>
      <w:r w:rsidR="00A40917" w:rsidRPr="003E168A">
        <w:t xml:space="preserve"> a homogenitásmérés etikai kérdéseket is felvet. </w:t>
      </w:r>
      <w:r>
        <w:t>Például olyanokat, hogy k</w:t>
      </w:r>
      <w:r w:rsidR="00A40917" w:rsidRPr="003E168A">
        <w:t>i dönt</w:t>
      </w:r>
      <w:r>
        <w:t>i</w:t>
      </w:r>
      <w:r w:rsidR="00A40917" w:rsidRPr="003E168A">
        <w:t xml:space="preserve"> el, hogy mi számít "megfelelő" homogenitásnak? Milyen mértékű heterogenitás tekinthető még egészségesnek egy társadalomban? Ezek a kérdések nem tisztán technikai jellegűek, hanem </w:t>
      </w:r>
      <w:r>
        <w:t xml:space="preserve">szubjektív </w:t>
      </w:r>
      <w:r w:rsidR="00A40917" w:rsidRPr="003E168A">
        <w:t xml:space="preserve">értékválasztásokat is tartalmaznak. </w:t>
      </w:r>
      <w:r>
        <w:t>Az itt bemutatott kvantum-inspirált modellezés elsősorban döntés</w:t>
      </w:r>
      <w:r w:rsidR="002F05AA">
        <w:t>támogatásra alkalmasak, így a végső felelősség továbbra is a végső döntéshozót terheli. Fontosnak tartom, hogy ezek az algoritmusok ne helyettesítsék a szubjektív, társadalmi értékválasztásokat, hanem inkább ezek explicit keretéül szolgáljanak. Kiemelten fontos továbbá, hogy a</w:t>
      </w:r>
      <w:r w:rsidR="002F05AA" w:rsidRPr="002F05AA">
        <w:t>z automatizált, átlátható és reprodukálható monitoring-rendszerek erősítik a</w:t>
      </w:r>
      <w:r w:rsidR="002F05AA">
        <w:t>z adatok mögött rejlő</w:t>
      </w:r>
      <w:r w:rsidR="002F05AA" w:rsidRPr="002F05AA">
        <w:t xml:space="preserve"> transzparenciát</w:t>
      </w:r>
      <w:r w:rsidR="002F05AA">
        <w:t xml:space="preserve"> ezzel</w:t>
      </w:r>
      <w:r w:rsidR="002F05AA" w:rsidRPr="002F05AA">
        <w:t xml:space="preserve"> csökkentik az információs aszimmetriát,</w:t>
      </w:r>
      <w:r w:rsidR="002F05AA">
        <w:t xml:space="preserve"> de</w:t>
      </w:r>
      <w:r w:rsidR="002F05AA" w:rsidRPr="002F05AA">
        <w:t xml:space="preserve"> ugyanakkor </w:t>
      </w:r>
      <w:r w:rsidR="002F05AA">
        <w:t>semmiképp sem</w:t>
      </w:r>
      <w:r w:rsidR="002F05AA" w:rsidRPr="002F05AA">
        <w:t xml:space="preserve"> oldják fel a méltányosság körüli társadalmi vitákat.</w:t>
      </w:r>
      <w:r w:rsidR="002F05AA">
        <w:t xml:space="preserve"> </w:t>
      </w:r>
    </w:p>
    <w:p w14:paraId="768F6C85" w14:textId="1D02E773" w:rsidR="00A40917" w:rsidRPr="003E168A" w:rsidRDefault="00A40917" w:rsidP="00A40917">
      <w:pPr>
        <w:pStyle w:val="fejezet1"/>
        <w:rPr>
          <w:lang w:val="hu-HU"/>
        </w:rPr>
      </w:pPr>
      <w:bookmarkStart w:id="26" w:name="_Toc215817697"/>
      <w:r w:rsidRPr="003E168A">
        <w:rPr>
          <w:lang w:val="hu-HU"/>
        </w:rPr>
        <w:lastRenderedPageBreak/>
        <w:t>Következtetések</w:t>
      </w:r>
      <w:r w:rsidR="009764CF" w:rsidRPr="003E168A">
        <w:rPr>
          <w:lang w:val="hu-HU"/>
        </w:rPr>
        <w:t>, összefoglalás</w:t>
      </w:r>
      <w:r w:rsidRPr="003E168A">
        <w:rPr>
          <w:lang w:val="hu-HU"/>
        </w:rPr>
        <w:t xml:space="preserve"> és jövőbeli kutatási irányok</w:t>
      </w:r>
      <w:bookmarkEnd w:id="26"/>
    </w:p>
    <w:p w14:paraId="7D5CF67B" w14:textId="69831AFA" w:rsidR="00CF6AEB" w:rsidRDefault="00CF6AEB" w:rsidP="00CE0D1C">
      <w:r>
        <w:t>A tanulmány korábbi fejezeteiben részletesen bemutattam, hogy a társadalmi-gazdasági rendszerek elemzésében a kvantum-inspirált homogenitás modellek nem csak elméleti újítás</w:t>
      </w:r>
      <w:r w:rsidR="00CC4EAD">
        <w:t>t jelentenek</w:t>
      </w:r>
      <w:r>
        <w:t>, hanem empirikusan megalapozott, gyakorlati paradigmaváltás</w:t>
      </w:r>
      <w:r w:rsidR="00CC4EAD">
        <w:t>t</w:t>
      </w:r>
      <w:r>
        <w:t xml:space="preserve"> is. A tanulmányban bemutatott hazai és európai esettanulmányok (vö. EU-homogenitás, Mezőföld régió, Budapest és agglomerációja) eredményei pontosan szemléltetik, hogy a homogenitás időben nem lineáris</w:t>
      </w:r>
      <w:r w:rsidR="007741CA">
        <w:t xml:space="preserve"> és bi</w:t>
      </w:r>
      <w:r w:rsidR="005D2AF3">
        <w:t>f</w:t>
      </w:r>
      <w:r w:rsidR="007741CA">
        <w:t>u</w:t>
      </w:r>
      <w:r w:rsidR="005D2AF3">
        <w:t>r</w:t>
      </w:r>
      <w:r w:rsidR="007741CA">
        <w:t xml:space="preserve">kációs pontokon keresztül változik. </w:t>
      </w:r>
    </w:p>
    <w:p w14:paraId="421E1FF4" w14:textId="18F65DC1" w:rsidR="00B37E8B" w:rsidRDefault="00B37E8B" w:rsidP="00CE0D1C">
      <w:r>
        <w:t xml:space="preserve">A </w:t>
      </w:r>
      <w:proofErr w:type="spellStart"/>
      <w:r>
        <w:t>Scheffer</w:t>
      </w:r>
      <w:proofErr w:type="spellEnd"/>
      <w:r>
        <w:t xml:space="preserve">-indikátorok empirikus igazolásai valós alapot szolgáltatnak arra a feltételezésre, hogy igen is léteznek és matematikailag mérhetőek is a társadalmi, gazdasági rendszerek válságok előtti korai figyelmeztető jelzései (vö. növekvő variancia, erősödő </w:t>
      </w:r>
      <w:proofErr w:type="spellStart"/>
      <w:r>
        <w:t>autokorreláció</w:t>
      </w:r>
      <w:proofErr w:type="spellEnd"/>
      <w:r>
        <w:t xml:space="preserve"> és lassabb helyreállás). Ezek mindegyike időben azonosíthatóak és stabil alapot nyújthatnak a proaktív döntéshozatalban is </w:t>
      </w:r>
      <w:r w:rsidRPr="00934E1E">
        <w:t>(</w:t>
      </w:r>
      <w:proofErr w:type="spellStart"/>
      <w:r w:rsidRPr="00934E1E">
        <w:t>Scheffer</w:t>
      </w:r>
      <w:proofErr w:type="spellEnd"/>
      <w:r w:rsidRPr="00934E1E">
        <w:t xml:space="preserve"> </w:t>
      </w:r>
      <w:proofErr w:type="spellStart"/>
      <w:r w:rsidRPr="00934E1E">
        <w:t>et</w:t>
      </w:r>
      <w:proofErr w:type="spellEnd"/>
      <w:r w:rsidRPr="00934E1E">
        <w:t xml:space="preserve"> </w:t>
      </w:r>
      <w:proofErr w:type="spellStart"/>
      <w:r w:rsidRPr="00934E1E">
        <w:t>al</w:t>
      </w:r>
      <w:proofErr w:type="spellEnd"/>
      <w:r w:rsidRPr="00934E1E">
        <w:t xml:space="preserve">., 2009; </w:t>
      </w:r>
      <w:proofErr w:type="spellStart"/>
      <w:r w:rsidRPr="00934E1E">
        <w:t>Kuehn</w:t>
      </w:r>
      <w:proofErr w:type="spellEnd"/>
      <w:r w:rsidRPr="00934E1E">
        <w:t xml:space="preserve">, 2011; </w:t>
      </w:r>
      <w:proofErr w:type="spellStart"/>
      <w:r w:rsidRPr="00934E1E">
        <w:t>Dakos</w:t>
      </w:r>
      <w:proofErr w:type="spellEnd"/>
      <w:r w:rsidRPr="00934E1E">
        <w:t xml:space="preserve"> </w:t>
      </w:r>
      <w:proofErr w:type="spellStart"/>
      <w:r w:rsidRPr="00934E1E">
        <w:t>et</w:t>
      </w:r>
      <w:proofErr w:type="spellEnd"/>
      <w:r w:rsidRPr="00934E1E">
        <w:t xml:space="preserve"> </w:t>
      </w:r>
      <w:proofErr w:type="spellStart"/>
      <w:r w:rsidRPr="00934E1E">
        <w:t>al</w:t>
      </w:r>
      <w:proofErr w:type="spellEnd"/>
      <w:r w:rsidRPr="00934E1E">
        <w:t>., 2016)</w:t>
      </w:r>
      <w:r>
        <w:t xml:space="preserve">. Például a 2008-as pénzügyi világválság előtt is megfigyelhetőek voltak ezek a jelzések, ám akkoriban nem rendelkeztünk olyan automatizált és adat vezérelt rendszerrel, amely ezeket valós időben vizsgálta volna.  </w:t>
      </w:r>
    </w:p>
    <w:p w14:paraId="076618E4" w14:textId="27F4BE2D" w:rsidR="00B37E8B" w:rsidRDefault="007741CA" w:rsidP="00CE0D1C">
      <w:r>
        <w:t>A kvantum-inspirált megközelítés egyik legfontosabb következtetése, hogy a gazdasági és társadalmi rendszerekben a manapság egyre gyorsabb ütemben tapasztalt válságok hatásai, mint például a 2008-as pénzügyi válság, vagy a 2022-es energia válság</w:t>
      </w:r>
      <w:r w:rsidR="00CC4EAD">
        <w:t xml:space="preserve"> által okozott</w:t>
      </w:r>
      <w:r>
        <w:t xml:space="preserve"> inflációs széttagoltság, nem magyarázhatók pusztán a klasszikus egyensúlyi modellekkel</w:t>
      </w:r>
      <w:r w:rsidR="00CC4EAD">
        <w:t>. Ezek</w:t>
      </w:r>
      <w:r>
        <w:t xml:space="preserve"> gazdasági alkalmazhatóságát a szakirodalom már hosszú évek óta kritizálja </w:t>
      </w:r>
      <w:r w:rsidRPr="007741CA">
        <w:t xml:space="preserve">(Arthur, 1999, 2021; Farmer &amp; </w:t>
      </w:r>
      <w:proofErr w:type="spellStart"/>
      <w:r w:rsidRPr="007741CA">
        <w:t>Geanakoplos</w:t>
      </w:r>
      <w:proofErr w:type="spellEnd"/>
      <w:r w:rsidRPr="007741CA">
        <w:t xml:space="preserve">, 2009; </w:t>
      </w:r>
      <w:proofErr w:type="spellStart"/>
      <w:r w:rsidRPr="007741CA">
        <w:t>Rodrik</w:t>
      </w:r>
      <w:proofErr w:type="spellEnd"/>
      <w:r w:rsidRPr="007741CA">
        <w:t>, 2015)</w:t>
      </w:r>
      <w:r>
        <w:t>.</w:t>
      </w:r>
      <w:r w:rsidR="00B37E8B">
        <w:t xml:space="preserve"> Emellett az EKB kutatásai szerint az egységes monetáris politika eltérően fejti </w:t>
      </w:r>
      <w:r w:rsidR="00CC4EAD">
        <w:t>ki hatását</w:t>
      </w:r>
      <w:r w:rsidR="00B37E8B">
        <w:t xml:space="preserve"> mind az EU-s tagállamok, mind pedig a jövedelmi csoportok között, melynek komplex modellezésére a</w:t>
      </w:r>
      <w:r w:rsidR="00CC4EAD">
        <w:t xml:space="preserve"> klasszikus </w:t>
      </w:r>
      <w:r w:rsidR="00B37E8B">
        <w:t>modellek nem alkalmasak</w:t>
      </w:r>
      <w:r w:rsidR="00B37E8B" w:rsidRPr="00B37E8B">
        <w:rPr>
          <w:rFonts w:ascii="Segoe UI" w:hAnsi="Segoe UI" w:cs="Segoe UI"/>
          <w:spacing w:val="1"/>
        </w:rPr>
        <w:t xml:space="preserve"> </w:t>
      </w:r>
      <w:r w:rsidR="00B37E8B" w:rsidRPr="00B37E8B">
        <w:t>(</w:t>
      </w:r>
      <w:proofErr w:type="spellStart"/>
      <w:r w:rsidR="000B49BB" w:rsidRPr="000B49BB">
        <w:t>Ampudia</w:t>
      </w:r>
      <w:proofErr w:type="spellEnd"/>
      <w:r w:rsidR="000B49BB" w:rsidRPr="000B49BB">
        <w:t xml:space="preserve"> </w:t>
      </w:r>
      <w:proofErr w:type="spellStart"/>
      <w:r w:rsidR="000B49BB" w:rsidRPr="000B49BB">
        <w:t>et</w:t>
      </w:r>
      <w:proofErr w:type="spellEnd"/>
      <w:r w:rsidR="000B49BB" w:rsidRPr="000B49BB">
        <w:t xml:space="preserve"> </w:t>
      </w:r>
      <w:proofErr w:type="spellStart"/>
      <w:r w:rsidR="000B49BB" w:rsidRPr="000B49BB">
        <w:t>al</w:t>
      </w:r>
      <w:proofErr w:type="spellEnd"/>
      <w:r w:rsidR="000B49BB" w:rsidRPr="000B49BB">
        <w:t>., 2018; ECB, 2024</w:t>
      </w:r>
      <w:r w:rsidR="00B37E8B" w:rsidRPr="00B37E8B">
        <w:t>)</w:t>
      </w:r>
      <w:r w:rsidR="00B37E8B">
        <w:t xml:space="preserve">. A kvantum-inspirált modellezés pont ezt a problémát kívánja megoldani úgy, hogy valószínűségi eloszlásokat használ a pontbecslés helyett. </w:t>
      </w:r>
    </w:p>
    <w:p w14:paraId="332D03BF" w14:textId="410AA8C0" w:rsidR="00B8116B" w:rsidRDefault="00B8116B" w:rsidP="00CE0D1C">
      <w:r>
        <w:t>Korábbi MI vezérelt homogenitás kutatásaink módszertana tökéletes kiindulópontot jelentenek</w:t>
      </w:r>
      <w:r w:rsidR="00CC4EAD">
        <w:t xml:space="preserve"> a</w:t>
      </w:r>
      <w:r>
        <w:t xml:space="preserve"> kvantum-inspirált modellek </w:t>
      </w:r>
      <w:r w:rsidR="00CC4EAD">
        <w:t xml:space="preserve">módszertani </w:t>
      </w:r>
      <w:r>
        <w:t xml:space="preserve">kereteinek kialakításához, hiszen az ezekben felhasznált adatvagyonok </w:t>
      </w:r>
      <w:proofErr w:type="spellStart"/>
      <w:r>
        <w:t>bootstrap</w:t>
      </w:r>
      <w:proofErr w:type="spellEnd"/>
      <w:r>
        <w:t xml:space="preserve"> </w:t>
      </w:r>
      <w:proofErr w:type="spellStart"/>
      <w:r>
        <w:t>mnódszerrel</w:t>
      </w:r>
      <w:proofErr w:type="spellEnd"/>
      <w:r>
        <w:t xml:space="preserve"> eloszlássá alakíthatók, melyek lehetővé tennék a párhuzamos szcenárió-, </w:t>
      </w:r>
      <w:proofErr w:type="spellStart"/>
      <w:r>
        <w:t>dekoherancia</w:t>
      </w:r>
      <w:proofErr w:type="spellEnd"/>
      <w:r>
        <w:t>-, és bifurkációs elemzéseket.</w:t>
      </w:r>
      <w:r w:rsidR="00FE4F64">
        <w:t xml:space="preserve"> Fontos kiemelni, hogy a kvantum-inspirált modellezés etikai szempontból nem helyettesíti a végső, humán döntéshozatalt, hanem csak támogatja azt. A döntések utáni felelősség minden esetben a döntéshozót terheli.</w:t>
      </w:r>
      <w:r>
        <w:t xml:space="preserve"> </w:t>
      </w:r>
      <w:r w:rsidR="00FE4F64">
        <w:t>Ami a technológiát illeti,</w:t>
      </w:r>
      <w:r>
        <w:t xml:space="preserve"> a modell kialakításához szükséges hardware és </w:t>
      </w:r>
      <w:r>
        <w:lastRenderedPageBreak/>
        <w:t xml:space="preserve">software eszközök (Laptop, Python, COCO Y0, nyílt API-k) ma már </w:t>
      </w:r>
      <w:r w:rsidR="00FE4F64">
        <w:t xml:space="preserve">szabadon </w:t>
      </w:r>
      <w:r>
        <w:t xml:space="preserve">rendelkezésre állnak, így ez nem akadályozza a megvalósítást sem. </w:t>
      </w:r>
    </w:p>
    <w:p w14:paraId="049DBB86" w14:textId="26DA8DD0" w:rsidR="00D9767F" w:rsidRDefault="00D9767F" w:rsidP="00CE0D1C">
      <w:r w:rsidRPr="00D9767F">
        <w:t>Jövőbeli kutatási irányként javas</w:t>
      </w:r>
      <w:r>
        <w:t xml:space="preserve">lom – az eddigi homogenitás mérések továbbfejlesztése mellett – </w:t>
      </w:r>
      <w:r w:rsidRPr="00D9767F">
        <w:t>az eurozóna HICP inflációs adatainak kvantum-inspirált elemzés</w:t>
      </w:r>
      <w:r>
        <w:t>ét</w:t>
      </w:r>
      <w:r w:rsidRPr="00D9767F">
        <w:t>, amely 2000 és 202</w:t>
      </w:r>
      <w:r>
        <w:t>5</w:t>
      </w:r>
      <w:r w:rsidRPr="00D9767F">
        <w:t xml:space="preserve"> között vizsgálná a monetáris politika heterogén hatását a tagállamok inflációs homogenitására.</w:t>
      </w:r>
    </w:p>
    <w:p w14:paraId="14AF8961" w14:textId="363D2309" w:rsidR="006769C5" w:rsidRDefault="006A3CB8" w:rsidP="00CE0D1C">
      <w:r w:rsidRPr="006A3CB8">
        <w:t>Ha a kvantum-inspirált módszertan empirikus validációja sikeres lesz, akkor ez a megközelítés jelentő</w:t>
      </w:r>
      <w:r w:rsidR="003E67FB">
        <w:t xml:space="preserve">sen hozzájárulhat </w:t>
      </w:r>
      <w:r w:rsidRPr="006A3CB8">
        <w:t>a 21. század társadalmi-gazdasági monitoringrendszereinek fejlesztésé</w:t>
      </w:r>
      <w:r w:rsidR="003E67FB">
        <w:t>hez</w:t>
      </w:r>
      <w:r w:rsidRPr="006A3CB8">
        <w:t>, különösen a korai válságjelző rendszerek és többszcenáriós politikai döntéstámogatás területén.</w:t>
      </w:r>
    </w:p>
    <w:p w14:paraId="6DAD6B88" w14:textId="77777777" w:rsidR="00A40917" w:rsidRPr="003E168A" w:rsidRDefault="00A40917" w:rsidP="006769C5">
      <w:pPr>
        <w:ind w:firstLine="0"/>
      </w:pPr>
    </w:p>
    <w:p w14:paraId="7F586907" w14:textId="77777777" w:rsidR="00A40917" w:rsidRPr="003E168A" w:rsidRDefault="00A40917" w:rsidP="00A40917"/>
    <w:p w14:paraId="1F0F31B8" w14:textId="77777777" w:rsidR="00A40917" w:rsidRPr="003E168A" w:rsidRDefault="00A40917" w:rsidP="00A40917"/>
    <w:p w14:paraId="56206491" w14:textId="33BEF135" w:rsidR="00A40917" w:rsidRPr="003E168A" w:rsidRDefault="00CB2459" w:rsidP="00CB2459">
      <w:pPr>
        <w:spacing w:line="278" w:lineRule="auto"/>
        <w:ind w:firstLine="0"/>
        <w:jc w:val="left"/>
      </w:pPr>
      <w:r w:rsidRPr="003E168A">
        <w:br w:type="page"/>
      </w:r>
    </w:p>
    <w:p w14:paraId="20FCF9C1" w14:textId="6E1C135E" w:rsidR="005B2D7F" w:rsidRPr="004845F4" w:rsidRDefault="00A40917" w:rsidP="004845F4">
      <w:pPr>
        <w:pStyle w:val="fejezet1"/>
        <w:rPr>
          <w:lang w:val="hu-HU"/>
        </w:rPr>
      </w:pPr>
      <w:bookmarkStart w:id="27" w:name="_Toc215817698"/>
      <w:r w:rsidRPr="003E168A">
        <w:rPr>
          <w:lang w:val="hu-HU"/>
        </w:rPr>
        <w:lastRenderedPageBreak/>
        <w:t>Irodalomjegyzék</w:t>
      </w:r>
      <w:bookmarkEnd w:id="27"/>
    </w:p>
    <w:p w14:paraId="42AE89BB" w14:textId="77777777" w:rsidR="000B49BB" w:rsidRPr="000B49BB" w:rsidRDefault="000B49BB" w:rsidP="00747F9E">
      <w:pPr>
        <w:ind w:firstLine="284"/>
      </w:pPr>
      <w:proofErr w:type="spellStart"/>
      <w:r w:rsidRPr="000B49BB">
        <w:t>Ampudia</w:t>
      </w:r>
      <w:proofErr w:type="spellEnd"/>
      <w:r w:rsidRPr="000B49BB">
        <w:t xml:space="preserve">, Miguel – Georgarakos, </w:t>
      </w:r>
      <w:proofErr w:type="spellStart"/>
      <w:r w:rsidRPr="000B49BB">
        <w:t>Dimitris</w:t>
      </w:r>
      <w:proofErr w:type="spellEnd"/>
      <w:r w:rsidRPr="000B49BB">
        <w:t xml:space="preserve"> – </w:t>
      </w:r>
      <w:proofErr w:type="spellStart"/>
      <w:r w:rsidRPr="000B49BB">
        <w:t>Slacalek</w:t>
      </w:r>
      <w:proofErr w:type="spellEnd"/>
      <w:r w:rsidRPr="000B49BB">
        <w:t xml:space="preserve">, </w:t>
      </w:r>
      <w:proofErr w:type="spellStart"/>
      <w:r w:rsidRPr="000B49BB">
        <w:t>Jiri</w:t>
      </w:r>
      <w:proofErr w:type="spellEnd"/>
      <w:r w:rsidRPr="000B49BB">
        <w:t xml:space="preserve"> – </w:t>
      </w:r>
      <w:proofErr w:type="spellStart"/>
      <w:r w:rsidRPr="000B49BB">
        <w:t>Tristani</w:t>
      </w:r>
      <w:proofErr w:type="spellEnd"/>
      <w:r w:rsidRPr="000B49BB">
        <w:t xml:space="preserve">, </w:t>
      </w:r>
      <w:proofErr w:type="spellStart"/>
      <w:r w:rsidRPr="000B49BB">
        <w:t>Oreste</w:t>
      </w:r>
      <w:proofErr w:type="spellEnd"/>
      <w:r w:rsidRPr="000B49BB">
        <w:t xml:space="preserve"> – </w:t>
      </w:r>
      <w:proofErr w:type="spellStart"/>
      <w:r w:rsidRPr="000B49BB">
        <w:t>Vermeulen</w:t>
      </w:r>
      <w:proofErr w:type="spellEnd"/>
      <w:r w:rsidRPr="000B49BB">
        <w:t xml:space="preserve">, Philip – </w:t>
      </w:r>
      <w:proofErr w:type="spellStart"/>
      <w:r w:rsidRPr="000B49BB">
        <w:t>Violante</w:t>
      </w:r>
      <w:proofErr w:type="spellEnd"/>
      <w:r w:rsidRPr="000B49BB">
        <w:t xml:space="preserve">, Giovanni L. (2018): </w:t>
      </w:r>
      <w:proofErr w:type="spellStart"/>
      <w:r w:rsidRPr="000B49BB">
        <w:t>Monetary</w:t>
      </w:r>
      <w:proofErr w:type="spellEnd"/>
      <w:r w:rsidRPr="000B49BB">
        <w:t xml:space="preserve"> policy and household </w:t>
      </w:r>
      <w:proofErr w:type="spellStart"/>
      <w:r w:rsidRPr="000B49BB">
        <w:t>inequality</w:t>
      </w:r>
      <w:proofErr w:type="spellEnd"/>
      <w:r w:rsidRPr="000B49BB">
        <w:t xml:space="preserve">. ECB </w:t>
      </w:r>
      <w:proofErr w:type="spellStart"/>
      <w:r w:rsidRPr="000B49BB">
        <w:t>Working</w:t>
      </w:r>
      <w:proofErr w:type="spellEnd"/>
      <w:r w:rsidRPr="000B49BB">
        <w:t xml:space="preserve"> </w:t>
      </w:r>
      <w:proofErr w:type="spellStart"/>
      <w:r w:rsidRPr="000B49BB">
        <w:t>Paper</w:t>
      </w:r>
      <w:proofErr w:type="spellEnd"/>
      <w:r w:rsidRPr="000B49BB">
        <w:t xml:space="preserve"> </w:t>
      </w:r>
      <w:proofErr w:type="spellStart"/>
      <w:r w:rsidRPr="000B49BB">
        <w:t>Series</w:t>
      </w:r>
      <w:proofErr w:type="spellEnd"/>
      <w:r w:rsidRPr="000B49BB">
        <w:t>, No. 2170. </w:t>
      </w:r>
      <w:hyperlink r:id="rId12" w:tgtFrame="_blank" w:history="1">
        <w:r w:rsidRPr="000B49BB">
          <w:rPr>
            <w:rStyle w:val="Hiperhivatkozs"/>
            <w:b/>
            <w:bCs/>
          </w:rPr>
          <w:t>https://www.ecb.europa.eu/pub/pdf/scpwps/ecb.wp2170.en.pdf</w:t>
        </w:r>
      </w:hyperlink>
    </w:p>
    <w:p w14:paraId="3CE6A7EC" w14:textId="77777777" w:rsidR="000B49BB" w:rsidRPr="000B49BB" w:rsidRDefault="000B49BB" w:rsidP="00747F9E">
      <w:pPr>
        <w:ind w:firstLine="284"/>
      </w:pPr>
      <w:r w:rsidRPr="000B49BB">
        <w:t xml:space="preserve">Arthur, William Brian (1999): </w:t>
      </w:r>
      <w:proofErr w:type="spellStart"/>
      <w:r w:rsidRPr="000B49BB">
        <w:t>Complexity</w:t>
      </w:r>
      <w:proofErr w:type="spellEnd"/>
      <w:r w:rsidRPr="000B49BB">
        <w:t xml:space="preserve"> and </w:t>
      </w:r>
      <w:proofErr w:type="spellStart"/>
      <w:r w:rsidRPr="000B49BB">
        <w:t>the</w:t>
      </w:r>
      <w:proofErr w:type="spellEnd"/>
      <w:r w:rsidRPr="000B49BB">
        <w:t xml:space="preserve"> </w:t>
      </w:r>
      <w:proofErr w:type="spellStart"/>
      <w:r w:rsidRPr="000B49BB">
        <w:t>economy</w:t>
      </w:r>
      <w:proofErr w:type="spellEnd"/>
      <w:r w:rsidRPr="000B49BB">
        <w:t>. Science, 284. évfolyam 5411. szám, 107-109. </w:t>
      </w:r>
      <w:hyperlink r:id="rId13" w:tgtFrame="_blank" w:history="1">
        <w:r w:rsidRPr="000B49BB">
          <w:rPr>
            <w:rStyle w:val="Hiperhivatkozs"/>
            <w:b/>
            <w:bCs/>
          </w:rPr>
          <w:t>https://doi.org/10.1126/science.284.5411.107</w:t>
        </w:r>
      </w:hyperlink>
    </w:p>
    <w:p w14:paraId="77C4CC2B" w14:textId="77777777" w:rsidR="000B49BB" w:rsidRPr="000B49BB" w:rsidRDefault="000B49BB" w:rsidP="00747F9E">
      <w:pPr>
        <w:ind w:firstLine="284"/>
      </w:pPr>
      <w:r w:rsidRPr="000B49BB">
        <w:t xml:space="preserve">Arthur, William Brian (2021): </w:t>
      </w:r>
      <w:proofErr w:type="spellStart"/>
      <w:r w:rsidRPr="000B49BB">
        <w:t>Foundations</w:t>
      </w:r>
      <w:proofErr w:type="spellEnd"/>
      <w:r w:rsidRPr="000B49BB">
        <w:t xml:space="preserve"> of </w:t>
      </w:r>
      <w:proofErr w:type="spellStart"/>
      <w:r w:rsidRPr="000B49BB">
        <w:t>complexity</w:t>
      </w:r>
      <w:proofErr w:type="spellEnd"/>
      <w:r w:rsidRPr="000B49BB">
        <w:t xml:space="preserve"> </w:t>
      </w:r>
      <w:proofErr w:type="spellStart"/>
      <w:r w:rsidRPr="000B49BB">
        <w:t>economics</w:t>
      </w:r>
      <w:proofErr w:type="spellEnd"/>
      <w:r w:rsidRPr="000B49BB">
        <w:t xml:space="preserve">. </w:t>
      </w:r>
      <w:proofErr w:type="spellStart"/>
      <w:r w:rsidRPr="000B49BB">
        <w:t>Nature</w:t>
      </w:r>
      <w:proofErr w:type="spellEnd"/>
      <w:r w:rsidRPr="000B49BB">
        <w:t xml:space="preserve"> </w:t>
      </w:r>
      <w:proofErr w:type="spellStart"/>
      <w:r w:rsidRPr="000B49BB">
        <w:t>Reviews</w:t>
      </w:r>
      <w:proofErr w:type="spellEnd"/>
      <w:r w:rsidRPr="000B49BB">
        <w:t xml:space="preserve"> </w:t>
      </w:r>
      <w:proofErr w:type="spellStart"/>
      <w:r w:rsidRPr="000B49BB">
        <w:t>Physics</w:t>
      </w:r>
      <w:proofErr w:type="spellEnd"/>
      <w:r w:rsidRPr="000B49BB">
        <w:t>, 3. évfolyam, 136-145. </w:t>
      </w:r>
      <w:hyperlink r:id="rId14" w:tgtFrame="_blank" w:history="1">
        <w:r w:rsidRPr="000B49BB">
          <w:rPr>
            <w:rStyle w:val="Hiperhivatkozs"/>
            <w:b/>
            <w:bCs/>
          </w:rPr>
          <w:t>https://doi.org/10.1038/s42254-020-00273-3</w:t>
        </w:r>
      </w:hyperlink>
    </w:p>
    <w:p w14:paraId="53D979BE" w14:textId="77777777" w:rsidR="000B49BB" w:rsidRPr="000B49BB" w:rsidRDefault="000B49BB" w:rsidP="00747F9E">
      <w:pPr>
        <w:ind w:firstLine="284"/>
      </w:pPr>
      <w:proofErr w:type="spellStart"/>
      <w:r w:rsidRPr="000B49BB">
        <w:t>Atkinson</w:t>
      </w:r>
      <w:proofErr w:type="spellEnd"/>
      <w:r w:rsidRPr="000B49BB">
        <w:t xml:space="preserve">, Anthony Barnes – </w:t>
      </w:r>
      <w:proofErr w:type="spellStart"/>
      <w:r w:rsidRPr="000B49BB">
        <w:t>Morelli</w:t>
      </w:r>
      <w:proofErr w:type="spellEnd"/>
      <w:r w:rsidRPr="000B49BB">
        <w:t xml:space="preserve">, </w:t>
      </w:r>
      <w:proofErr w:type="spellStart"/>
      <w:r w:rsidRPr="000B49BB">
        <w:t>Salvatore</w:t>
      </w:r>
      <w:proofErr w:type="spellEnd"/>
      <w:r w:rsidRPr="000B49BB">
        <w:t xml:space="preserve"> (2014): The </w:t>
      </w:r>
      <w:proofErr w:type="spellStart"/>
      <w:r w:rsidRPr="000B49BB">
        <w:t>Chartbook</w:t>
      </w:r>
      <w:proofErr w:type="spellEnd"/>
      <w:r w:rsidRPr="000B49BB">
        <w:t xml:space="preserve"> of </w:t>
      </w:r>
      <w:proofErr w:type="spellStart"/>
      <w:r w:rsidRPr="000B49BB">
        <w:t>Economic</w:t>
      </w:r>
      <w:proofErr w:type="spellEnd"/>
      <w:r w:rsidRPr="000B49BB">
        <w:t xml:space="preserve"> </w:t>
      </w:r>
      <w:proofErr w:type="spellStart"/>
      <w:r w:rsidRPr="000B49BB">
        <w:t>Inequality</w:t>
      </w:r>
      <w:proofErr w:type="spellEnd"/>
      <w:r w:rsidRPr="000B49BB">
        <w:t>. </w:t>
      </w:r>
      <w:hyperlink r:id="rId15" w:tgtFrame="_blank" w:history="1">
        <w:r w:rsidRPr="000B49BB">
          <w:rPr>
            <w:rStyle w:val="Hiperhivatkozs"/>
            <w:b/>
            <w:bCs/>
          </w:rPr>
          <w:t>https://chartbookofeconomicinequality.com/</w:t>
        </w:r>
      </w:hyperlink>
    </w:p>
    <w:p w14:paraId="59204C0F" w14:textId="77777777" w:rsidR="000B49BB" w:rsidRPr="000B49BB" w:rsidRDefault="000B49BB" w:rsidP="00747F9E">
      <w:pPr>
        <w:ind w:firstLine="284"/>
      </w:pPr>
      <w:proofErr w:type="spellStart"/>
      <w:r w:rsidRPr="000B49BB">
        <w:t>Atkinson</w:t>
      </w:r>
      <w:proofErr w:type="spellEnd"/>
      <w:r w:rsidRPr="000B49BB">
        <w:t xml:space="preserve">, Anthony Barnes – </w:t>
      </w:r>
      <w:proofErr w:type="spellStart"/>
      <w:r w:rsidRPr="000B49BB">
        <w:t>Morelli</w:t>
      </w:r>
      <w:proofErr w:type="spellEnd"/>
      <w:r w:rsidRPr="000B49BB">
        <w:t xml:space="preserve">, </w:t>
      </w:r>
      <w:proofErr w:type="spellStart"/>
      <w:r w:rsidRPr="000B49BB">
        <w:t>Salvatore</w:t>
      </w:r>
      <w:proofErr w:type="spellEnd"/>
      <w:r w:rsidRPr="000B49BB">
        <w:t xml:space="preserve"> (2015): </w:t>
      </w:r>
      <w:proofErr w:type="spellStart"/>
      <w:r w:rsidRPr="000B49BB">
        <w:t>Inequality</w:t>
      </w:r>
      <w:proofErr w:type="spellEnd"/>
      <w:r w:rsidRPr="000B49BB">
        <w:t xml:space="preserve"> and banking </w:t>
      </w:r>
      <w:proofErr w:type="spellStart"/>
      <w:r w:rsidRPr="000B49BB">
        <w:t>crises</w:t>
      </w:r>
      <w:proofErr w:type="spellEnd"/>
      <w:r w:rsidRPr="000B49BB">
        <w:t xml:space="preserve">: A </w:t>
      </w:r>
      <w:proofErr w:type="spellStart"/>
      <w:r w:rsidRPr="000B49BB">
        <w:t>first</w:t>
      </w:r>
      <w:proofErr w:type="spellEnd"/>
      <w:r w:rsidRPr="000B49BB">
        <w:t xml:space="preserve"> </w:t>
      </w:r>
      <w:proofErr w:type="spellStart"/>
      <w:r w:rsidRPr="000B49BB">
        <w:t>look</w:t>
      </w:r>
      <w:proofErr w:type="spellEnd"/>
      <w:r w:rsidRPr="000B49BB">
        <w:t xml:space="preserve">. In: </w:t>
      </w:r>
      <w:proofErr w:type="spellStart"/>
      <w:r w:rsidRPr="000B49BB">
        <w:t>Atkinson</w:t>
      </w:r>
      <w:proofErr w:type="spellEnd"/>
      <w:r w:rsidRPr="000B49BB">
        <w:t xml:space="preserve">, Anthony Barnes – </w:t>
      </w:r>
      <w:proofErr w:type="spellStart"/>
      <w:r w:rsidRPr="000B49BB">
        <w:t>Bourguignon</w:t>
      </w:r>
      <w:proofErr w:type="spellEnd"/>
      <w:r w:rsidRPr="000B49BB">
        <w:t xml:space="preserve">, François (szerk.): </w:t>
      </w:r>
      <w:proofErr w:type="spellStart"/>
      <w:r w:rsidRPr="000B49BB">
        <w:t>Handbook</w:t>
      </w:r>
      <w:proofErr w:type="spellEnd"/>
      <w:r w:rsidRPr="000B49BB">
        <w:t xml:space="preserve"> of </w:t>
      </w:r>
      <w:proofErr w:type="spellStart"/>
      <w:r w:rsidRPr="000B49BB">
        <w:t>income</w:t>
      </w:r>
      <w:proofErr w:type="spellEnd"/>
      <w:r w:rsidRPr="000B49BB">
        <w:t xml:space="preserve"> </w:t>
      </w:r>
      <w:proofErr w:type="spellStart"/>
      <w:r w:rsidRPr="000B49BB">
        <w:t>distribution</w:t>
      </w:r>
      <w:proofErr w:type="spellEnd"/>
      <w:r w:rsidRPr="000B49BB">
        <w:t xml:space="preserve">. 2. kötet, Amsterdam, </w:t>
      </w:r>
      <w:proofErr w:type="spellStart"/>
      <w:r w:rsidRPr="000B49BB">
        <w:t>Elsevier</w:t>
      </w:r>
      <w:proofErr w:type="spellEnd"/>
      <w:r w:rsidRPr="000B49BB">
        <w:t>, 1583-1650. </w:t>
      </w:r>
      <w:hyperlink r:id="rId16" w:tgtFrame="_blank" w:history="1">
        <w:r w:rsidRPr="000B49BB">
          <w:rPr>
            <w:rStyle w:val="Hiperhivatkozs"/>
            <w:b/>
            <w:bCs/>
          </w:rPr>
          <w:t>https://www.tony-atkinson.com/researchpapers/Atkinson_and_Morelli_-_Inequality_and_Banking_Crises_-_A_First_Look.pdf</w:t>
        </w:r>
      </w:hyperlink>
    </w:p>
    <w:p w14:paraId="4712B3B7" w14:textId="77777777" w:rsidR="000B49BB" w:rsidRPr="000B49BB" w:rsidRDefault="000B49BB" w:rsidP="00747F9E">
      <w:pPr>
        <w:ind w:firstLine="284"/>
      </w:pPr>
      <w:proofErr w:type="spellStart"/>
      <w:r w:rsidRPr="000B49BB">
        <w:t>Barro</w:t>
      </w:r>
      <w:proofErr w:type="spellEnd"/>
      <w:r w:rsidRPr="000B49BB">
        <w:t xml:space="preserve">, Robert Joseph – </w:t>
      </w:r>
      <w:proofErr w:type="spellStart"/>
      <w:r w:rsidRPr="000B49BB">
        <w:t>Sala</w:t>
      </w:r>
      <w:proofErr w:type="spellEnd"/>
      <w:r w:rsidRPr="000B49BB">
        <w:t xml:space="preserve">-i-Martin, Xavier (1991): </w:t>
      </w:r>
      <w:proofErr w:type="spellStart"/>
      <w:r w:rsidRPr="000B49BB">
        <w:t>Convergence</w:t>
      </w:r>
      <w:proofErr w:type="spellEnd"/>
      <w:r w:rsidRPr="000B49BB">
        <w:t xml:space="preserve"> </w:t>
      </w:r>
      <w:proofErr w:type="spellStart"/>
      <w:r w:rsidRPr="000B49BB">
        <w:t>across</w:t>
      </w:r>
      <w:proofErr w:type="spellEnd"/>
      <w:r w:rsidRPr="000B49BB">
        <w:t xml:space="preserve"> </w:t>
      </w:r>
      <w:proofErr w:type="spellStart"/>
      <w:r w:rsidRPr="000B49BB">
        <w:t>states</w:t>
      </w:r>
      <w:proofErr w:type="spellEnd"/>
      <w:r w:rsidRPr="000B49BB">
        <w:t xml:space="preserve"> and </w:t>
      </w:r>
      <w:proofErr w:type="spellStart"/>
      <w:r w:rsidRPr="000B49BB">
        <w:t>regions</w:t>
      </w:r>
      <w:proofErr w:type="spellEnd"/>
      <w:r w:rsidRPr="000B49BB">
        <w:t xml:space="preserve">. </w:t>
      </w:r>
      <w:proofErr w:type="spellStart"/>
      <w:r w:rsidRPr="000B49BB">
        <w:t>Brookings</w:t>
      </w:r>
      <w:proofErr w:type="spellEnd"/>
      <w:r w:rsidRPr="000B49BB">
        <w:t xml:space="preserve"> </w:t>
      </w:r>
      <w:proofErr w:type="spellStart"/>
      <w:r w:rsidRPr="000B49BB">
        <w:t>Papers</w:t>
      </w:r>
      <w:proofErr w:type="spellEnd"/>
      <w:r w:rsidRPr="000B49BB">
        <w:t xml:space="preserve"> </w:t>
      </w:r>
      <w:proofErr w:type="spellStart"/>
      <w:r w:rsidRPr="000B49BB">
        <w:t>on</w:t>
      </w:r>
      <w:proofErr w:type="spellEnd"/>
      <w:r w:rsidRPr="000B49BB">
        <w:t xml:space="preserve"> </w:t>
      </w:r>
      <w:proofErr w:type="spellStart"/>
      <w:r w:rsidRPr="000B49BB">
        <w:t>Economic</w:t>
      </w:r>
      <w:proofErr w:type="spellEnd"/>
      <w:r w:rsidRPr="000B49BB">
        <w:t xml:space="preserve"> </w:t>
      </w:r>
      <w:proofErr w:type="spellStart"/>
      <w:r w:rsidRPr="000B49BB">
        <w:t>Activity</w:t>
      </w:r>
      <w:proofErr w:type="spellEnd"/>
      <w:r w:rsidRPr="000B49BB">
        <w:t>, 1991. évfolyam 1. szám, 107-182. </w:t>
      </w:r>
      <w:hyperlink r:id="rId17" w:tgtFrame="_blank" w:history="1">
        <w:r w:rsidRPr="000B49BB">
          <w:rPr>
            <w:rStyle w:val="Hiperhivatkozs"/>
            <w:b/>
            <w:bCs/>
          </w:rPr>
          <w:t>https://doi.org/10.2307/2534639</w:t>
        </w:r>
      </w:hyperlink>
    </w:p>
    <w:p w14:paraId="33854C46" w14:textId="77777777" w:rsidR="000B49BB" w:rsidRPr="000B49BB" w:rsidRDefault="000B49BB" w:rsidP="00747F9E">
      <w:pPr>
        <w:ind w:firstLine="284"/>
      </w:pPr>
      <w:proofErr w:type="spellStart"/>
      <w:r w:rsidRPr="000B49BB">
        <w:t>Barro</w:t>
      </w:r>
      <w:proofErr w:type="spellEnd"/>
      <w:r w:rsidRPr="000B49BB">
        <w:t xml:space="preserve">, Robert Joseph – </w:t>
      </w:r>
      <w:proofErr w:type="spellStart"/>
      <w:r w:rsidRPr="000B49BB">
        <w:t>Sala</w:t>
      </w:r>
      <w:proofErr w:type="spellEnd"/>
      <w:r w:rsidRPr="000B49BB">
        <w:t xml:space="preserve">-i-Martin, Xavier (1992): </w:t>
      </w:r>
      <w:proofErr w:type="spellStart"/>
      <w:r w:rsidRPr="000B49BB">
        <w:t>Convergence</w:t>
      </w:r>
      <w:proofErr w:type="spellEnd"/>
      <w:r w:rsidRPr="000B49BB">
        <w:t xml:space="preserve">. Journal of </w:t>
      </w:r>
      <w:proofErr w:type="spellStart"/>
      <w:r w:rsidRPr="000B49BB">
        <w:t>Political</w:t>
      </w:r>
      <w:proofErr w:type="spellEnd"/>
      <w:r w:rsidRPr="000B49BB">
        <w:t xml:space="preserve"> </w:t>
      </w:r>
      <w:proofErr w:type="spellStart"/>
      <w:r w:rsidRPr="000B49BB">
        <w:t>Economy</w:t>
      </w:r>
      <w:proofErr w:type="spellEnd"/>
      <w:r w:rsidRPr="000B49BB">
        <w:t>, 100. évfolyam 2. szám, 223-251. </w:t>
      </w:r>
      <w:hyperlink r:id="rId18" w:tgtFrame="_blank" w:history="1">
        <w:r w:rsidRPr="000B49BB">
          <w:rPr>
            <w:rStyle w:val="Hiperhivatkozs"/>
            <w:b/>
            <w:bCs/>
          </w:rPr>
          <w:t>https://doi.org/10.1086/261816</w:t>
        </w:r>
      </w:hyperlink>
    </w:p>
    <w:p w14:paraId="1BCBD646" w14:textId="77777777" w:rsidR="000B49BB" w:rsidRPr="000B49BB" w:rsidRDefault="000B49BB" w:rsidP="00747F9E">
      <w:pPr>
        <w:ind w:firstLine="284"/>
      </w:pPr>
      <w:proofErr w:type="spellStart"/>
      <w:r w:rsidRPr="000B49BB">
        <w:t>Baum</w:t>
      </w:r>
      <w:proofErr w:type="spellEnd"/>
      <w:r w:rsidRPr="000B49BB">
        <w:t xml:space="preserve">, Christopher – </w:t>
      </w:r>
      <w:proofErr w:type="spellStart"/>
      <w:r w:rsidRPr="000B49BB">
        <w:t>Gokhale</w:t>
      </w:r>
      <w:proofErr w:type="spellEnd"/>
      <w:r w:rsidRPr="000B49BB">
        <w:t xml:space="preserve">, </w:t>
      </w:r>
      <w:proofErr w:type="spellStart"/>
      <w:r w:rsidRPr="000B49BB">
        <w:t>Pranav</w:t>
      </w:r>
      <w:proofErr w:type="spellEnd"/>
      <w:r w:rsidRPr="000B49BB">
        <w:t xml:space="preserve"> – </w:t>
      </w:r>
      <w:proofErr w:type="spellStart"/>
      <w:r w:rsidRPr="000B49BB">
        <w:t>Pistoia</w:t>
      </w:r>
      <w:proofErr w:type="spellEnd"/>
      <w:r w:rsidRPr="000B49BB">
        <w:t xml:space="preserve">, Marco (2019): </w:t>
      </w:r>
      <w:proofErr w:type="spellStart"/>
      <w:r w:rsidRPr="000B49BB">
        <w:t>Quantum</w:t>
      </w:r>
      <w:proofErr w:type="spellEnd"/>
      <w:r w:rsidRPr="000B49BB">
        <w:t xml:space="preserve"> </w:t>
      </w:r>
      <w:proofErr w:type="spellStart"/>
      <w:r w:rsidRPr="000B49BB">
        <w:t>computing</w:t>
      </w:r>
      <w:proofErr w:type="spellEnd"/>
      <w:r w:rsidRPr="000B49BB">
        <w:t xml:space="preserve"> in </w:t>
      </w:r>
      <w:proofErr w:type="spellStart"/>
      <w:r w:rsidRPr="000B49BB">
        <w:t>intelligent</w:t>
      </w:r>
      <w:proofErr w:type="spellEnd"/>
      <w:r w:rsidRPr="000B49BB">
        <w:t xml:space="preserve"> </w:t>
      </w:r>
      <w:proofErr w:type="spellStart"/>
      <w:r w:rsidRPr="000B49BB">
        <w:t>transportation</w:t>
      </w:r>
      <w:proofErr w:type="spellEnd"/>
      <w:r w:rsidRPr="000B49BB">
        <w:t xml:space="preserve"> </w:t>
      </w:r>
      <w:proofErr w:type="spellStart"/>
      <w:r w:rsidRPr="000B49BB">
        <w:t>systems</w:t>
      </w:r>
      <w:proofErr w:type="spellEnd"/>
      <w:r w:rsidRPr="000B49BB">
        <w:t xml:space="preserve">. </w:t>
      </w:r>
      <w:proofErr w:type="spellStart"/>
      <w:r w:rsidRPr="000B49BB">
        <w:t>arXiv</w:t>
      </w:r>
      <w:proofErr w:type="spellEnd"/>
      <w:r w:rsidRPr="000B49BB">
        <w:t xml:space="preserve"> </w:t>
      </w:r>
      <w:proofErr w:type="spellStart"/>
      <w:r w:rsidRPr="000B49BB">
        <w:t>preprint</w:t>
      </w:r>
      <w:proofErr w:type="spellEnd"/>
      <w:r w:rsidRPr="000B49BB">
        <w:t xml:space="preserve"> arXiv:2406.00862. </w:t>
      </w:r>
      <w:hyperlink r:id="rId19" w:tgtFrame="_blank" w:history="1">
        <w:r w:rsidRPr="000B49BB">
          <w:rPr>
            <w:rStyle w:val="Hiperhivatkozs"/>
            <w:b/>
            <w:bCs/>
          </w:rPr>
          <w:t>https://arxiv.org/abs/2406.00862</w:t>
        </w:r>
      </w:hyperlink>
    </w:p>
    <w:p w14:paraId="75E801C9" w14:textId="77777777" w:rsidR="000B49BB" w:rsidRPr="000B49BB" w:rsidRDefault="000B49BB" w:rsidP="00747F9E">
      <w:pPr>
        <w:ind w:firstLine="284"/>
      </w:pPr>
      <w:proofErr w:type="spellStart"/>
      <w:r w:rsidRPr="000B49BB">
        <w:t>Benassy-Quéré</w:t>
      </w:r>
      <w:proofErr w:type="spellEnd"/>
      <w:r w:rsidRPr="000B49BB">
        <w:t xml:space="preserve">, </w:t>
      </w:r>
      <w:proofErr w:type="spellStart"/>
      <w:r w:rsidRPr="000B49BB">
        <w:t>Agnès</w:t>
      </w:r>
      <w:proofErr w:type="spellEnd"/>
      <w:r w:rsidRPr="000B49BB">
        <w:t xml:space="preserve"> – </w:t>
      </w:r>
      <w:proofErr w:type="spellStart"/>
      <w:r w:rsidRPr="000B49BB">
        <w:t>Gourinchas</w:t>
      </w:r>
      <w:proofErr w:type="spellEnd"/>
      <w:r w:rsidRPr="000B49BB">
        <w:t xml:space="preserve">, Pierre-Olivier – Martin, Philippe – </w:t>
      </w:r>
      <w:proofErr w:type="spellStart"/>
      <w:r w:rsidRPr="000B49BB">
        <w:t>Plantin</w:t>
      </w:r>
      <w:proofErr w:type="spellEnd"/>
      <w:r w:rsidRPr="000B49BB">
        <w:t xml:space="preserve">, </w:t>
      </w:r>
      <w:proofErr w:type="spellStart"/>
      <w:r w:rsidRPr="000B49BB">
        <w:t>Guillaume</w:t>
      </w:r>
      <w:proofErr w:type="spellEnd"/>
      <w:r w:rsidRPr="000B49BB">
        <w:t xml:space="preserve"> (2025): </w:t>
      </w:r>
      <w:proofErr w:type="spellStart"/>
      <w:r w:rsidRPr="000B49BB">
        <w:t>Heterogeneity</w:t>
      </w:r>
      <w:proofErr w:type="spellEnd"/>
      <w:r w:rsidRPr="000B49BB">
        <w:t xml:space="preserve"> in </w:t>
      </w:r>
      <w:proofErr w:type="spellStart"/>
      <w:r w:rsidRPr="000B49BB">
        <w:t>the</w:t>
      </w:r>
      <w:proofErr w:type="spellEnd"/>
      <w:r w:rsidRPr="000B49BB">
        <w:t xml:space="preserve"> euro </w:t>
      </w:r>
      <w:proofErr w:type="spellStart"/>
      <w:r w:rsidRPr="000B49BB">
        <w:t>area</w:t>
      </w:r>
      <w:proofErr w:type="spellEnd"/>
      <w:r w:rsidRPr="000B49BB">
        <w:t xml:space="preserve"> and </w:t>
      </w:r>
      <w:proofErr w:type="spellStart"/>
      <w:r w:rsidRPr="000B49BB">
        <w:t>the</w:t>
      </w:r>
      <w:proofErr w:type="spellEnd"/>
      <w:r w:rsidRPr="000B49BB">
        <w:t xml:space="preserve"> </w:t>
      </w:r>
      <w:proofErr w:type="spellStart"/>
      <w:r w:rsidRPr="000B49BB">
        <w:t>transmission</w:t>
      </w:r>
      <w:proofErr w:type="spellEnd"/>
      <w:r w:rsidRPr="000B49BB">
        <w:t xml:space="preserve"> of </w:t>
      </w:r>
      <w:proofErr w:type="spellStart"/>
      <w:r w:rsidRPr="000B49BB">
        <w:t>monetary</w:t>
      </w:r>
      <w:proofErr w:type="spellEnd"/>
      <w:r w:rsidRPr="000B49BB">
        <w:t xml:space="preserve"> policy. ECB Forum </w:t>
      </w:r>
      <w:proofErr w:type="spellStart"/>
      <w:r w:rsidRPr="000B49BB">
        <w:t>on</w:t>
      </w:r>
      <w:proofErr w:type="spellEnd"/>
      <w:r w:rsidRPr="000B49BB">
        <w:t xml:space="preserve"> </w:t>
      </w:r>
      <w:proofErr w:type="spellStart"/>
      <w:r w:rsidRPr="000B49BB">
        <w:t>Central</w:t>
      </w:r>
      <w:proofErr w:type="spellEnd"/>
      <w:r w:rsidRPr="000B49BB">
        <w:t xml:space="preserve"> Banking. </w:t>
      </w:r>
      <w:hyperlink r:id="rId20" w:tgtFrame="_blank" w:history="1">
        <w:r w:rsidRPr="000B49BB">
          <w:rPr>
            <w:rStyle w:val="Hiperhivatkozs"/>
            <w:b/>
            <w:bCs/>
          </w:rPr>
          <w:t>https://www.ecb.europa.eu/pub/pdf/sintra/ecb.forumcentbankpub2025_Benassy-Quere_paper.en.pdf</w:t>
        </w:r>
      </w:hyperlink>
    </w:p>
    <w:p w14:paraId="60996B5C" w14:textId="77777777" w:rsidR="000B49BB" w:rsidRPr="000B49BB" w:rsidRDefault="000B49BB" w:rsidP="00747F9E">
      <w:pPr>
        <w:ind w:firstLine="284"/>
      </w:pPr>
      <w:proofErr w:type="spellStart"/>
      <w:r w:rsidRPr="000B49BB">
        <w:t>Biamonte</w:t>
      </w:r>
      <w:proofErr w:type="spellEnd"/>
      <w:r w:rsidRPr="000B49BB">
        <w:t xml:space="preserve">, Jacob – </w:t>
      </w:r>
      <w:proofErr w:type="spellStart"/>
      <w:r w:rsidRPr="000B49BB">
        <w:t>Schuld</w:t>
      </w:r>
      <w:proofErr w:type="spellEnd"/>
      <w:r w:rsidRPr="000B49BB">
        <w:t xml:space="preserve">, Maria – Lloyd, </w:t>
      </w:r>
      <w:proofErr w:type="spellStart"/>
      <w:r w:rsidRPr="000B49BB">
        <w:t>Seth</w:t>
      </w:r>
      <w:proofErr w:type="spellEnd"/>
      <w:r w:rsidRPr="000B49BB">
        <w:t xml:space="preserve"> (2017): </w:t>
      </w:r>
      <w:proofErr w:type="spellStart"/>
      <w:r w:rsidRPr="000B49BB">
        <w:t>Quantum</w:t>
      </w:r>
      <w:proofErr w:type="spellEnd"/>
      <w:r w:rsidRPr="000B49BB">
        <w:t xml:space="preserve"> </w:t>
      </w:r>
      <w:proofErr w:type="spellStart"/>
      <w:r w:rsidRPr="000B49BB">
        <w:t>machine</w:t>
      </w:r>
      <w:proofErr w:type="spellEnd"/>
      <w:r w:rsidRPr="000B49BB">
        <w:t xml:space="preserve"> </w:t>
      </w:r>
      <w:proofErr w:type="spellStart"/>
      <w:r w:rsidRPr="000B49BB">
        <w:t>learning</w:t>
      </w:r>
      <w:proofErr w:type="spellEnd"/>
      <w:r w:rsidRPr="000B49BB">
        <w:t xml:space="preserve">. </w:t>
      </w:r>
      <w:proofErr w:type="spellStart"/>
      <w:r w:rsidRPr="000B49BB">
        <w:t>Nature</w:t>
      </w:r>
      <w:proofErr w:type="spellEnd"/>
      <w:r w:rsidRPr="000B49BB">
        <w:t>, 549. évfolyam 7671. szám, 195-202. </w:t>
      </w:r>
      <w:hyperlink r:id="rId21" w:tgtFrame="_blank" w:history="1">
        <w:r w:rsidRPr="000B49BB">
          <w:rPr>
            <w:rStyle w:val="Hiperhivatkozs"/>
            <w:b/>
            <w:bCs/>
          </w:rPr>
          <w:t>https://doi.org/10.1038/nature23474</w:t>
        </w:r>
      </w:hyperlink>
    </w:p>
    <w:p w14:paraId="78B8A5A0" w14:textId="77777777" w:rsidR="000B49BB" w:rsidRPr="000B49BB" w:rsidRDefault="000B49BB" w:rsidP="00747F9E">
      <w:pPr>
        <w:ind w:firstLine="284"/>
      </w:pPr>
      <w:proofErr w:type="spellStart"/>
      <w:r w:rsidRPr="000B49BB">
        <w:t>Bundesbank</w:t>
      </w:r>
      <w:proofErr w:type="spellEnd"/>
      <w:r w:rsidRPr="000B49BB">
        <w:t xml:space="preserve"> (2023): </w:t>
      </w:r>
      <w:proofErr w:type="spellStart"/>
      <w:r w:rsidRPr="000B49BB">
        <w:t>Heterogeneous</w:t>
      </w:r>
      <w:proofErr w:type="spellEnd"/>
      <w:r w:rsidRPr="000B49BB">
        <w:t xml:space="preserve"> </w:t>
      </w:r>
      <w:proofErr w:type="spellStart"/>
      <w:r w:rsidRPr="000B49BB">
        <w:t>impact</w:t>
      </w:r>
      <w:proofErr w:type="spellEnd"/>
      <w:r w:rsidRPr="000B49BB">
        <w:t xml:space="preserve"> of </w:t>
      </w:r>
      <w:proofErr w:type="spellStart"/>
      <w:r w:rsidRPr="000B49BB">
        <w:t>monetary</w:t>
      </w:r>
      <w:proofErr w:type="spellEnd"/>
      <w:r w:rsidRPr="000B49BB">
        <w:t xml:space="preserve"> policy in </w:t>
      </w:r>
      <w:proofErr w:type="spellStart"/>
      <w:r w:rsidRPr="000B49BB">
        <w:t>the</w:t>
      </w:r>
      <w:proofErr w:type="spellEnd"/>
      <w:r w:rsidRPr="000B49BB">
        <w:t xml:space="preserve"> euro </w:t>
      </w:r>
      <w:proofErr w:type="spellStart"/>
      <w:r w:rsidRPr="000B49BB">
        <w:t>area</w:t>
      </w:r>
      <w:proofErr w:type="spellEnd"/>
      <w:r w:rsidRPr="000B49BB">
        <w:t xml:space="preserve">? Deutsche </w:t>
      </w:r>
      <w:proofErr w:type="spellStart"/>
      <w:r w:rsidRPr="000B49BB">
        <w:t>Bundesbank</w:t>
      </w:r>
      <w:proofErr w:type="spellEnd"/>
      <w:r w:rsidRPr="000B49BB">
        <w:t xml:space="preserve"> </w:t>
      </w:r>
      <w:proofErr w:type="spellStart"/>
      <w:r w:rsidRPr="000B49BB">
        <w:t>Monthly</w:t>
      </w:r>
      <w:proofErr w:type="spellEnd"/>
      <w:r w:rsidRPr="000B49BB">
        <w:t xml:space="preserve"> </w:t>
      </w:r>
      <w:proofErr w:type="spellStart"/>
      <w:r w:rsidRPr="000B49BB">
        <w:t>Report</w:t>
      </w:r>
      <w:proofErr w:type="spellEnd"/>
      <w:r w:rsidRPr="000B49BB">
        <w:t xml:space="preserve">, </w:t>
      </w:r>
      <w:proofErr w:type="spellStart"/>
      <w:r w:rsidRPr="000B49BB">
        <w:t>September</w:t>
      </w:r>
      <w:proofErr w:type="spellEnd"/>
      <w:r w:rsidRPr="000B49BB">
        <w:t xml:space="preserve"> </w:t>
      </w:r>
      <w:r w:rsidRPr="000B49BB">
        <w:lastRenderedPageBreak/>
        <w:t>2023. </w:t>
      </w:r>
      <w:hyperlink r:id="rId22" w:tgtFrame="_blank" w:history="1">
        <w:r w:rsidRPr="000B49BB">
          <w:rPr>
            <w:rStyle w:val="Hiperhivatkozs"/>
            <w:b/>
            <w:bCs/>
          </w:rPr>
          <w:t>https://www.bundesbank.de/resource/blob/916768/2a6826a2c846af281357d00c3fbbe5df/mL/2023-09-geldpolitik-data.pdf</w:t>
        </w:r>
      </w:hyperlink>
    </w:p>
    <w:p w14:paraId="5EB6D8F8" w14:textId="77777777" w:rsidR="000B49BB" w:rsidRPr="000B49BB" w:rsidRDefault="000B49BB" w:rsidP="00747F9E">
      <w:pPr>
        <w:ind w:firstLine="284"/>
      </w:pPr>
      <w:proofErr w:type="spellStart"/>
      <w:r w:rsidRPr="000B49BB">
        <w:t>Busemeyer</w:t>
      </w:r>
      <w:proofErr w:type="spellEnd"/>
      <w:r w:rsidRPr="000B49BB">
        <w:t xml:space="preserve">, </w:t>
      </w:r>
      <w:proofErr w:type="spellStart"/>
      <w:r w:rsidRPr="000B49BB">
        <w:t>Jerome</w:t>
      </w:r>
      <w:proofErr w:type="spellEnd"/>
      <w:r w:rsidRPr="000B49BB">
        <w:t xml:space="preserve"> R. – </w:t>
      </w:r>
      <w:proofErr w:type="spellStart"/>
      <w:r w:rsidRPr="000B49BB">
        <w:t>Bruza</w:t>
      </w:r>
      <w:proofErr w:type="spellEnd"/>
      <w:r w:rsidRPr="000B49BB">
        <w:t xml:space="preserve">, Peter D. (2012): </w:t>
      </w:r>
      <w:proofErr w:type="spellStart"/>
      <w:r w:rsidRPr="000B49BB">
        <w:t>Quantum</w:t>
      </w:r>
      <w:proofErr w:type="spellEnd"/>
      <w:r w:rsidRPr="000B49BB">
        <w:t xml:space="preserve"> </w:t>
      </w:r>
      <w:proofErr w:type="spellStart"/>
      <w:r w:rsidRPr="000B49BB">
        <w:t>models</w:t>
      </w:r>
      <w:proofErr w:type="spellEnd"/>
      <w:r w:rsidRPr="000B49BB">
        <w:t xml:space="preserve"> of </w:t>
      </w:r>
      <w:proofErr w:type="spellStart"/>
      <w:r w:rsidRPr="000B49BB">
        <w:t>cognition</w:t>
      </w:r>
      <w:proofErr w:type="spellEnd"/>
      <w:r w:rsidRPr="000B49BB">
        <w:t xml:space="preserve"> and decision. Cambridge, Cambridge University Press. </w:t>
      </w:r>
      <w:hyperlink r:id="rId23" w:tgtFrame="_blank" w:history="1">
        <w:r w:rsidRPr="000B49BB">
          <w:rPr>
            <w:rStyle w:val="Hiperhivatkozs"/>
            <w:b/>
            <w:bCs/>
          </w:rPr>
          <w:t>https://doi.org/10.1017/CBO9780511997716</w:t>
        </w:r>
      </w:hyperlink>
    </w:p>
    <w:p w14:paraId="27AE8706" w14:textId="77777777" w:rsidR="000B49BB" w:rsidRPr="000B49BB" w:rsidRDefault="000B49BB" w:rsidP="00747F9E">
      <w:pPr>
        <w:ind w:firstLine="284"/>
      </w:pPr>
      <w:proofErr w:type="spellStart"/>
      <w:r w:rsidRPr="000B49BB">
        <w:t>Dakos</w:t>
      </w:r>
      <w:proofErr w:type="spellEnd"/>
      <w:r w:rsidRPr="000B49BB">
        <w:t xml:space="preserve">, </w:t>
      </w:r>
      <w:proofErr w:type="spellStart"/>
      <w:r w:rsidRPr="000B49BB">
        <w:t>Vasilis</w:t>
      </w:r>
      <w:proofErr w:type="spellEnd"/>
      <w:r w:rsidRPr="000B49BB">
        <w:t xml:space="preserve"> – </w:t>
      </w:r>
      <w:proofErr w:type="spellStart"/>
      <w:r w:rsidRPr="000B49BB">
        <w:t>Matthews</w:t>
      </w:r>
      <w:proofErr w:type="spellEnd"/>
      <w:r w:rsidRPr="000B49BB">
        <w:t xml:space="preserve">, Blake – </w:t>
      </w:r>
      <w:proofErr w:type="spellStart"/>
      <w:r w:rsidRPr="000B49BB">
        <w:t>Hendry</w:t>
      </w:r>
      <w:proofErr w:type="spellEnd"/>
      <w:r w:rsidRPr="000B49BB">
        <w:t xml:space="preserve">, Andrew P. – </w:t>
      </w:r>
      <w:proofErr w:type="spellStart"/>
      <w:r w:rsidRPr="000B49BB">
        <w:t>Levine</w:t>
      </w:r>
      <w:proofErr w:type="spellEnd"/>
      <w:r w:rsidRPr="000B49BB">
        <w:t xml:space="preserve">, Jonathan – </w:t>
      </w:r>
      <w:proofErr w:type="spellStart"/>
      <w:r w:rsidRPr="000B49BB">
        <w:t>Loeuille</w:t>
      </w:r>
      <w:proofErr w:type="spellEnd"/>
      <w:r w:rsidRPr="000B49BB">
        <w:t xml:space="preserve">, Nicolas – </w:t>
      </w:r>
      <w:proofErr w:type="spellStart"/>
      <w:r w:rsidRPr="000B49BB">
        <w:t>Norberg</w:t>
      </w:r>
      <w:proofErr w:type="spellEnd"/>
      <w:r w:rsidRPr="000B49BB">
        <w:t xml:space="preserve">, Jon – </w:t>
      </w:r>
      <w:proofErr w:type="spellStart"/>
      <w:r w:rsidRPr="000B49BB">
        <w:t>Nosil</w:t>
      </w:r>
      <w:proofErr w:type="spellEnd"/>
      <w:r w:rsidRPr="000B49BB">
        <w:t xml:space="preserve">, Patrik – </w:t>
      </w:r>
      <w:proofErr w:type="spellStart"/>
      <w:r w:rsidRPr="000B49BB">
        <w:t>Scheffer</w:t>
      </w:r>
      <w:proofErr w:type="spellEnd"/>
      <w:r w:rsidRPr="000B49BB">
        <w:t xml:space="preserve">, </w:t>
      </w:r>
      <w:proofErr w:type="spellStart"/>
      <w:r w:rsidRPr="000B49BB">
        <w:t>Marten</w:t>
      </w:r>
      <w:proofErr w:type="spellEnd"/>
      <w:r w:rsidRPr="000B49BB">
        <w:t xml:space="preserve"> – De </w:t>
      </w:r>
      <w:proofErr w:type="spellStart"/>
      <w:r w:rsidRPr="000B49BB">
        <w:t>Meester</w:t>
      </w:r>
      <w:proofErr w:type="spellEnd"/>
      <w:r w:rsidRPr="000B49BB">
        <w:t xml:space="preserve">, </w:t>
      </w:r>
      <w:proofErr w:type="spellStart"/>
      <w:r w:rsidRPr="000B49BB">
        <w:t>Luc</w:t>
      </w:r>
      <w:proofErr w:type="spellEnd"/>
      <w:r w:rsidRPr="000B49BB">
        <w:t xml:space="preserve"> (2016): </w:t>
      </w:r>
      <w:proofErr w:type="spellStart"/>
      <w:r w:rsidRPr="000B49BB">
        <w:t>Rate</w:t>
      </w:r>
      <w:proofErr w:type="spellEnd"/>
      <w:r w:rsidRPr="000B49BB">
        <w:t xml:space="preserve"> of </w:t>
      </w:r>
      <w:proofErr w:type="spellStart"/>
      <w:r w:rsidRPr="000B49BB">
        <w:t>forcing</w:t>
      </w:r>
      <w:proofErr w:type="spellEnd"/>
      <w:r w:rsidRPr="000B49BB">
        <w:t xml:space="preserve"> and </w:t>
      </w:r>
      <w:proofErr w:type="spellStart"/>
      <w:r w:rsidRPr="000B49BB">
        <w:t>the</w:t>
      </w:r>
      <w:proofErr w:type="spellEnd"/>
      <w:r w:rsidRPr="000B49BB">
        <w:t xml:space="preserve"> </w:t>
      </w:r>
      <w:proofErr w:type="spellStart"/>
      <w:r w:rsidRPr="000B49BB">
        <w:t>forecastability</w:t>
      </w:r>
      <w:proofErr w:type="spellEnd"/>
      <w:r w:rsidRPr="000B49BB">
        <w:t xml:space="preserve"> of </w:t>
      </w:r>
      <w:proofErr w:type="spellStart"/>
      <w:r w:rsidRPr="000B49BB">
        <w:t>critical</w:t>
      </w:r>
      <w:proofErr w:type="spellEnd"/>
      <w:r w:rsidRPr="000B49BB">
        <w:t xml:space="preserve"> </w:t>
      </w:r>
      <w:proofErr w:type="spellStart"/>
      <w:r w:rsidRPr="000B49BB">
        <w:t>transitions</w:t>
      </w:r>
      <w:proofErr w:type="spellEnd"/>
      <w:r w:rsidRPr="000B49BB">
        <w:t xml:space="preserve">. </w:t>
      </w:r>
      <w:proofErr w:type="spellStart"/>
      <w:r w:rsidRPr="000B49BB">
        <w:t>Proceedings</w:t>
      </w:r>
      <w:proofErr w:type="spellEnd"/>
      <w:r w:rsidRPr="000B49BB">
        <w:t xml:space="preserve"> of </w:t>
      </w:r>
      <w:proofErr w:type="spellStart"/>
      <w:r w:rsidRPr="000B49BB">
        <w:t>the</w:t>
      </w:r>
      <w:proofErr w:type="spellEnd"/>
      <w:r w:rsidRPr="000B49BB">
        <w:t xml:space="preserve"> National </w:t>
      </w:r>
      <w:proofErr w:type="spellStart"/>
      <w:r w:rsidRPr="000B49BB">
        <w:t>Academy</w:t>
      </w:r>
      <w:proofErr w:type="spellEnd"/>
      <w:r w:rsidRPr="000B49BB">
        <w:t xml:space="preserve"> of </w:t>
      </w:r>
      <w:proofErr w:type="spellStart"/>
      <w:r w:rsidRPr="000B49BB">
        <w:t>Sciences</w:t>
      </w:r>
      <w:proofErr w:type="spellEnd"/>
      <w:r w:rsidRPr="000B49BB">
        <w:t>, 113. évfolyam 41. szám, 11498-11503. </w:t>
      </w:r>
      <w:hyperlink r:id="rId24" w:tgtFrame="_blank" w:history="1">
        <w:r w:rsidRPr="000B49BB">
          <w:rPr>
            <w:rStyle w:val="Hiperhivatkozs"/>
            <w:b/>
            <w:bCs/>
          </w:rPr>
          <w:t>https://doi.org/10.1073/pnas.1608242113</w:t>
        </w:r>
      </w:hyperlink>
    </w:p>
    <w:p w14:paraId="6D7EBE5A" w14:textId="77777777" w:rsidR="000B49BB" w:rsidRPr="000B49BB" w:rsidRDefault="000B49BB" w:rsidP="00747F9E">
      <w:pPr>
        <w:ind w:firstLine="284"/>
      </w:pPr>
      <w:r w:rsidRPr="000B49BB">
        <w:t xml:space="preserve">ECB (2021): The </w:t>
      </w:r>
      <w:proofErr w:type="spellStart"/>
      <w:r w:rsidRPr="000B49BB">
        <w:t>ECB's</w:t>
      </w:r>
      <w:proofErr w:type="spellEnd"/>
      <w:r w:rsidRPr="000B49BB">
        <w:t xml:space="preserve"> </w:t>
      </w:r>
      <w:proofErr w:type="spellStart"/>
      <w:r w:rsidRPr="000B49BB">
        <w:t>monetary</w:t>
      </w:r>
      <w:proofErr w:type="spellEnd"/>
      <w:r w:rsidRPr="000B49BB">
        <w:t xml:space="preserve"> policy </w:t>
      </w:r>
      <w:proofErr w:type="spellStart"/>
      <w:r w:rsidRPr="000B49BB">
        <w:t>strategy</w:t>
      </w:r>
      <w:proofErr w:type="spellEnd"/>
      <w:r w:rsidRPr="000B49BB">
        <w:t xml:space="preserve"> </w:t>
      </w:r>
      <w:proofErr w:type="spellStart"/>
      <w:r w:rsidRPr="000B49BB">
        <w:t>statement</w:t>
      </w:r>
      <w:proofErr w:type="spellEnd"/>
      <w:r w:rsidRPr="000B49BB">
        <w:t xml:space="preserve">. European </w:t>
      </w:r>
      <w:proofErr w:type="spellStart"/>
      <w:r w:rsidRPr="000B49BB">
        <w:t>Central</w:t>
      </w:r>
      <w:proofErr w:type="spellEnd"/>
      <w:r w:rsidRPr="000B49BB">
        <w:t xml:space="preserve"> Bank. </w:t>
      </w:r>
      <w:hyperlink r:id="rId25" w:tgtFrame="_blank" w:history="1">
        <w:r w:rsidRPr="000B49BB">
          <w:rPr>
            <w:rStyle w:val="Hiperhivatkozs"/>
            <w:b/>
            <w:bCs/>
          </w:rPr>
          <w:t>https://www.ecb.europa.eu/mopo/strategy/ecb.mopo_strategy_statement.en.html</w:t>
        </w:r>
      </w:hyperlink>
    </w:p>
    <w:p w14:paraId="32598658" w14:textId="77777777" w:rsidR="000B49BB" w:rsidRPr="000B49BB" w:rsidRDefault="000B49BB" w:rsidP="00747F9E">
      <w:pPr>
        <w:ind w:firstLine="284"/>
      </w:pPr>
      <w:r w:rsidRPr="000B49BB">
        <w:t xml:space="preserve">ECB (2024a): </w:t>
      </w:r>
      <w:proofErr w:type="spellStart"/>
      <w:r w:rsidRPr="000B49BB">
        <w:t>Monetary</w:t>
      </w:r>
      <w:proofErr w:type="spellEnd"/>
      <w:r w:rsidRPr="000B49BB">
        <w:t xml:space="preserve"> policy </w:t>
      </w:r>
      <w:proofErr w:type="spellStart"/>
      <w:r w:rsidRPr="000B49BB">
        <w:t>pass-through</w:t>
      </w:r>
      <w:proofErr w:type="spellEnd"/>
      <w:r w:rsidRPr="000B49BB">
        <w:t xml:space="preserve"> </w:t>
      </w:r>
      <w:proofErr w:type="spellStart"/>
      <w:r w:rsidRPr="000B49BB">
        <w:t>to</w:t>
      </w:r>
      <w:proofErr w:type="spellEnd"/>
      <w:r w:rsidRPr="000B49BB">
        <w:t xml:space="preserve"> </w:t>
      </w:r>
      <w:proofErr w:type="spellStart"/>
      <w:r w:rsidRPr="000B49BB">
        <w:t>goods</w:t>
      </w:r>
      <w:proofErr w:type="spellEnd"/>
      <w:r w:rsidRPr="000B49BB">
        <w:t xml:space="preserve"> and </w:t>
      </w:r>
      <w:proofErr w:type="spellStart"/>
      <w:r w:rsidRPr="000B49BB">
        <w:t>services</w:t>
      </w:r>
      <w:proofErr w:type="spellEnd"/>
      <w:r w:rsidRPr="000B49BB">
        <w:t xml:space="preserve"> </w:t>
      </w:r>
      <w:proofErr w:type="spellStart"/>
      <w:r w:rsidRPr="000B49BB">
        <w:t>inflation</w:t>
      </w:r>
      <w:proofErr w:type="spellEnd"/>
      <w:r w:rsidRPr="000B49BB">
        <w:t xml:space="preserve">. ECB </w:t>
      </w:r>
      <w:proofErr w:type="spellStart"/>
      <w:r w:rsidRPr="000B49BB">
        <w:t>Economic</w:t>
      </w:r>
      <w:proofErr w:type="spellEnd"/>
      <w:r w:rsidRPr="000B49BB">
        <w:t xml:space="preserve"> Bulletin, </w:t>
      </w:r>
      <w:proofErr w:type="spellStart"/>
      <w:r w:rsidRPr="000B49BB">
        <w:t>Issue</w:t>
      </w:r>
      <w:proofErr w:type="spellEnd"/>
      <w:r w:rsidRPr="000B49BB">
        <w:t xml:space="preserve"> 8/2024. </w:t>
      </w:r>
      <w:hyperlink r:id="rId26" w:tgtFrame="_blank" w:history="1">
        <w:r w:rsidRPr="000B49BB">
          <w:rPr>
            <w:rStyle w:val="Hiperhivatkozs"/>
            <w:b/>
            <w:bCs/>
          </w:rPr>
          <w:t>https://www.ecb.europa.eu/press/economic-bulletin/html/eb202408.en.html</w:t>
        </w:r>
      </w:hyperlink>
    </w:p>
    <w:p w14:paraId="2F83BD5B" w14:textId="77777777" w:rsidR="000B49BB" w:rsidRPr="000B49BB" w:rsidRDefault="000B49BB" w:rsidP="00747F9E">
      <w:pPr>
        <w:ind w:firstLine="284"/>
      </w:pPr>
      <w:r w:rsidRPr="000B49BB">
        <w:t xml:space="preserve">ECB (2024b): </w:t>
      </w:r>
      <w:proofErr w:type="spellStart"/>
      <w:r w:rsidRPr="000B49BB">
        <w:t>Inflation</w:t>
      </w:r>
      <w:proofErr w:type="spellEnd"/>
      <w:r w:rsidRPr="000B49BB">
        <w:t xml:space="preserve"> and consumer </w:t>
      </w:r>
      <w:proofErr w:type="spellStart"/>
      <w:r w:rsidRPr="000B49BB">
        <w:t>prices</w:t>
      </w:r>
      <w:proofErr w:type="spellEnd"/>
      <w:r w:rsidRPr="000B49BB">
        <w:t xml:space="preserve">. European </w:t>
      </w:r>
      <w:proofErr w:type="spellStart"/>
      <w:r w:rsidRPr="000B49BB">
        <w:t>Central</w:t>
      </w:r>
      <w:proofErr w:type="spellEnd"/>
      <w:r w:rsidRPr="000B49BB">
        <w:t xml:space="preserve"> Bank. </w:t>
      </w:r>
      <w:hyperlink r:id="rId27" w:tgtFrame="_blank" w:history="1">
        <w:r w:rsidRPr="000B49BB">
          <w:rPr>
            <w:rStyle w:val="Hiperhivatkozs"/>
            <w:b/>
            <w:bCs/>
          </w:rPr>
          <w:t>https://www.ecb.europa.eu/stats/macroeconomic_and_sectoral/hicp/html/index.en.html</w:t>
        </w:r>
      </w:hyperlink>
    </w:p>
    <w:p w14:paraId="6C04084C" w14:textId="425B1A1E" w:rsidR="000B49BB" w:rsidRPr="000B49BB" w:rsidRDefault="000B49BB" w:rsidP="00747F9E">
      <w:pPr>
        <w:ind w:firstLine="284"/>
      </w:pPr>
      <w:proofErr w:type="spellStart"/>
      <w:r w:rsidRPr="000B49BB">
        <w:t>Efron</w:t>
      </w:r>
      <w:proofErr w:type="spellEnd"/>
      <w:r w:rsidRPr="000B49BB">
        <w:t xml:space="preserve">, Bradley – </w:t>
      </w:r>
      <w:proofErr w:type="spellStart"/>
      <w:r w:rsidRPr="000B49BB">
        <w:t>Tibshirani</w:t>
      </w:r>
      <w:proofErr w:type="spellEnd"/>
      <w:r w:rsidRPr="000B49BB">
        <w:t xml:space="preserve">, Robert J. (1993): An </w:t>
      </w:r>
      <w:proofErr w:type="spellStart"/>
      <w:r w:rsidRPr="000B49BB">
        <w:t>introduction</w:t>
      </w:r>
      <w:proofErr w:type="spellEnd"/>
      <w:r w:rsidRPr="000B49BB">
        <w:t xml:space="preserve"> </w:t>
      </w:r>
      <w:proofErr w:type="spellStart"/>
      <w:r w:rsidRPr="000B49BB">
        <w:t>to</w:t>
      </w:r>
      <w:proofErr w:type="spellEnd"/>
      <w:r w:rsidRPr="000B49BB">
        <w:t xml:space="preserve"> </w:t>
      </w:r>
      <w:proofErr w:type="spellStart"/>
      <w:r w:rsidRPr="000B49BB">
        <w:t>the</w:t>
      </w:r>
      <w:proofErr w:type="spellEnd"/>
      <w:r w:rsidRPr="000B49BB">
        <w:t xml:space="preserve"> </w:t>
      </w:r>
      <w:proofErr w:type="spellStart"/>
      <w:r w:rsidRPr="000B49BB">
        <w:t>bootstrap</w:t>
      </w:r>
      <w:proofErr w:type="spellEnd"/>
      <w:r w:rsidRPr="000B49BB">
        <w:t>. London, Chapman &amp; Hall</w:t>
      </w:r>
      <w:r w:rsidR="00F15753">
        <w:t xml:space="preserve"> </w:t>
      </w:r>
      <w:r w:rsidRPr="000B49BB">
        <w:t>/CRC. </w:t>
      </w:r>
      <w:r w:rsidR="00F15753" w:rsidRPr="00F15753">
        <w:t>https://www.hms.harvard.edu/bss/neuro/bornlab/nb204/statistics/bootstrap.pdf</w:t>
      </w:r>
    </w:p>
    <w:p w14:paraId="71BF4D4F" w14:textId="77777777" w:rsidR="000B49BB" w:rsidRPr="000B49BB" w:rsidRDefault="000B49BB" w:rsidP="00747F9E">
      <w:pPr>
        <w:ind w:firstLine="284"/>
      </w:pPr>
      <w:r w:rsidRPr="000B49BB">
        <w:t xml:space="preserve">European </w:t>
      </w:r>
      <w:proofErr w:type="spellStart"/>
      <w:r w:rsidRPr="000B49BB">
        <w:t>Parliament</w:t>
      </w:r>
      <w:proofErr w:type="spellEnd"/>
      <w:r w:rsidRPr="000B49BB">
        <w:t xml:space="preserve"> (2022): </w:t>
      </w:r>
      <w:proofErr w:type="spellStart"/>
      <w:r w:rsidRPr="000B49BB">
        <w:t>Inflation</w:t>
      </w:r>
      <w:proofErr w:type="spellEnd"/>
      <w:r w:rsidRPr="000B49BB">
        <w:t xml:space="preserve"> </w:t>
      </w:r>
      <w:proofErr w:type="spellStart"/>
      <w:r w:rsidRPr="000B49BB">
        <w:t>divergence</w:t>
      </w:r>
      <w:proofErr w:type="spellEnd"/>
      <w:r w:rsidRPr="000B49BB">
        <w:t xml:space="preserve"> in </w:t>
      </w:r>
      <w:proofErr w:type="spellStart"/>
      <w:r w:rsidRPr="000B49BB">
        <w:t>the</w:t>
      </w:r>
      <w:proofErr w:type="spellEnd"/>
      <w:r w:rsidRPr="000B49BB">
        <w:t xml:space="preserve"> euro </w:t>
      </w:r>
      <w:proofErr w:type="spellStart"/>
      <w:r w:rsidRPr="000B49BB">
        <w:t>area</w:t>
      </w:r>
      <w:proofErr w:type="spellEnd"/>
      <w:r w:rsidRPr="000B49BB">
        <w:t xml:space="preserve">: </w:t>
      </w:r>
      <w:proofErr w:type="spellStart"/>
      <w:r w:rsidRPr="000B49BB">
        <w:t>Nature</w:t>
      </w:r>
      <w:proofErr w:type="spellEnd"/>
      <w:r w:rsidRPr="000B49BB">
        <w:t xml:space="preserve"> and </w:t>
      </w:r>
      <w:proofErr w:type="spellStart"/>
      <w:r w:rsidRPr="000B49BB">
        <w:t>implications</w:t>
      </w:r>
      <w:proofErr w:type="spellEnd"/>
      <w:r w:rsidRPr="000B49BB">
        <w:t>. IPOL Policy Department. </w:t>
      </w:r>
      <w:hyperlink r:id="rId28" w:tgtFrame="_blank" w:history="1">
        <w:r w:rsidRPr="000B49BB">
          <w:rPr>
            <w:rStyle w:val="Hiperhivatkozs"/>
            <w:b/>
            <w:bCs/>
          </w:rPr>
          <w:t>https://www.europarl.europa.eu/RegData/etudes/IDAN/2022/733996/IPOL_IDA(2022)733996_EN.pdf</w:t>
        </w:r>
      </w:hyperlink>
    </w:p>
    <w:p w14:paraId="5305B9B9" w14:textId="77777777" w:rsidR="000B49BB" w:rsidRPr="000B49BB" w:rsidRDefault="000B49BB" w:rsidP="00747F9E">
      <w:pPr>
        <w:ind w:firstLine="284"/>
      </w:pPr>
      <w:r w:rsidRPr="000B49BB">
        <w:t xml:space="preserve">Farmer, J. </w:t>
      </w:r>
      <w:proofErr w:type="spellStart"/>
      <w:r w:rsidRPr="000B49BB">
        <w:t>Doyne</w:t>
      </w:r>
      <w:proofErr w:type="spellEnd"/>
      <w:r w:rsidRPr="000B49BB">
        <w:t xml:space="preserve"> – </w:t>
      </w:r>
      <w:proofErr w:type="spellStart"/>
      <w:r w:rsidRPr="000B49BB">
        <w:t>Geanakoplos</w:t>
      </w:r>
      <w:proofErr w:type="spellEnd"/>
      <w:r w:rsidRPr="000B49BB">
        <w:t xml:space="preserve">, John (2009): The </w:t>
      </w:r>
      <w:proofErr w:type="spellStart"/>
      <w:r w:rsidRPr="000B49BB">
        <w:t>virtues</w:t>
      </w:r>
      <w:proofErr w:type="spellEnd"/>
      <w:r w:rsidRPr="000B49BB">
        <w:t xml:space="preserve"> and </w:t>
      </w:r>
      <w:proofErr w:type="spellStart"/>
      <w:r w:rsidRPr="000B49BB">
        <w:t>vices</w:t>
      </w:r>
      <w:proofErr w:type="spellEnd"/>
      <w:r w:rsidRPr="000B49BB">
        <w:t xml:space="preserve"> of </w:t>
      </w:r>
      <w:proofErr w:type="spellStart"/>
      <w:r w:rsidRPr="000B49BB">
        <w:t>equilibrium</w:t>
      </w:r>
      <w:proofErr w:type="spellEnd"/>
      <w:r w:rsidRPr="000B49BB">
        <w:t xml:space="preserve"> and </w:t>
      </w:r>
      <w:proofErr w:type="spellStart"/>
      <w:r w:rsidRPr="000B49BB">
        <w:t>the</w:t>
      </w:r>
      <w:proofErr w:type="spellEnd"/>
      <w:r w:rsidRPr="000B49BB">
        <w:t xml:space="preserve"> </w:t>
      </w:r>
      <w:proofErr w:type="spellStart"/>
      <w:r w:rsidRPr="000B49BB">
        <w:t>future</w:t>
      </w:r>
      <w:proofErr w:type="spellEnd"/>
      <w:r w:rsidRPr="000B49BB">
        <w:t xml:space="preserve"> of </w:t>
      </w:r>
      <w:proofErr w:type="spellStart"/>
      <w:r w:rsidRPr="000B49BB">
        <w:t>financial</w:t>
      </w:r>
      <w:proofErr w:type="spellEnd"/>
      <w:r w:rsidRPr="000B49BB">
        <w:t xml:space="preserve"> </w:t>
      </w:r>
      <w:proofErr w:type="spellStart"/>
      <w:r w:rsidRPr="000B49BB">
        <w:t>economics</w:t>
      </w:r>
      <w:proofErr w:type="spellEnd"/>
      <w:r w:rsidRPr="000B49BB">
        <w:t xml:space="preserve">. </w:t>
      </w:r>
      <w:proofErr w:type="spellStart"/>
      <w:r w:rsidRPr="000B49BB">
        <w:t>Complexity</w:t>
      </w:r>
      <w:proofErr w:type="spellEnd"/>
      <w:r w:rsidRPr="000B49BB">
        <w:t>, 14. évfolyam 3. szám, 11-38. </w:t>
      </w:r>
      <w:hyperlink r:id="rId29" w:tgtFrame="_blank" w:history="1">
        <w:r w:rsidRPr="000B49BB">
          <w:rPr>
            <w:rStyle w:val="Hiperhivatkozs"/>
            <w:b/>
            <w:bCs/>
          </w:rPr>
          <w:t>https://doi.org/10.1002/cplx.20261</w:t>
        </w:r>
      </w:hyperlink>
    </w:p>
    <w:p w14:paraId="1DB2C8F3" w14:textId="4FDCD0CD" w:rsidR="000B49BB" w:rsidRPr="000B49BB" w:rsidRDefault="000B49BB" w:rsidP="00747F9E">
      <w:pPr>
        <w:ind w:firstLine="284"/>
      </w:pPr>
      <w:proofErr w:type="spellStart"/>
      <w:r w:rsidRPr="000B49BB">
        <w:t>Haven</w:t>
      </w:r>
      <w:proofErr w:type="spellEnd"/>
      <w:r w:rsidRPr="000B49BB">
        <w:t xml:space="preserve">, Emmanuel – </w:t>
      </w:r>
      <w:proofErr w:type="spellStart"/>
      <w:r w:rsidRPr="000B49BB">
        <w:t>Khrennikov</w:t>
      </w:r>
      <w:proofErr w:type="spellEnd"/>
      <w:r w:rsidRPr="000B49BB">
        <w:t xml:space="preserve">, </w:t>
      </w:r>
      <w:proofErr w:type="spellStart"/>
      <w:r w:rsidRPr="000B49BB">
        <w:t>Andrei</w:t>
      </w:r>
      <w:proofErr w:type="spellEnd"/>
      <w:r w:rsidRPr="000B49BB">
        <w:t xml:space="preserve"> (2013): </w:t>
      </w:r>
      <w:proofErr w:type="spellStart"/>
      <w:r w:rsidRPr="000B49BB">
        <w:t>Quantum</w:t>
      </w:r>
      <w:proofErr w:type="spellEnd"/>
      <w:r w:rsidRPr="000B49BB">
        <w:t xml:space="preserve"> </w:t>
      </w:r>
      <w:proofErr w:type="spellStart"/>
      <w:r w:rsidRPr="000B49BB">
        <w:t>social</w:t>
      </w:r>
      <w:proofErr w:type="spellEnd"/>
      <w:r w:rsidRPr="000B49BB">
        <w:t xml:space="preserve"> </w:t>
      </w:r>
      <w:proofErr w:type="spellStart"/>
      <w:r w:rsidRPr="000B49BB">
        <w:t>science</w:t>
      </w:r>
      <w:proofErr w:type="spellEnd"/>
      <w:r w:rsidRPr="000B49BB">
        <w:t>. Cambridge, Cambridge University Press. https://www.cambridge.org/core/books/quantum-social-science/156E054488073E842C6A3C598FC8DC87</w:t>
      </w:r>
    </w:p>
    <w:p w14:paraId="6ED3C47A" w14:textId="77777777" w:rsidR="000B49BB" w:rsidRPr="000B49BB" w:rsidRDefault="000B49BB" w:rsidP="00747F9E">
      <w:pPr>
        <w:ind w:firstLine="284"/>
      </w:pPr>
      <w:r w:rsidRPr="000B49BB">
        <w:t xml:space="preserve">IMF (2023): The 2020-2022 </w:t>
      </w:r>
      <w:proofErr w:type="spellStart"/>
      <w:r w:rsidRPr="000B49BB">
        <w:t>inflation</w:t>
      </w:r>
      <w:proofErr w:type="spellEnd"/>
      <w:r w:rsidRPr="000B49BB">
        <w:t xml:space="preserve"> </w:t>
      </w:r>
      <w:proofErr w:type="spellStart"/>
      <w:r w:rsidRPr="000B49BB">
        <w:t>surge</w:t>
      </w:r>
      <w:proofErr w:type="spellEnd"/>
      <w:r w:rsidRPr="000B49BB">
        <w:t xml:space="preserve"> </w:t>
      </w:r>
      <w:proofErr w:type="spellStart"/>
      <w:r w:rsidRPr="000B49BB">
        <w:t>across</w:t>
      </w:r>
      <w:proofErr w:type="spellEnd"/>
      <w:r w:rsidRPr="000B49BB">
        <w:t xml:space="preserve"> Europe. IMF </w:t>
      </w:r>
      <w:proofErr w:type="spellStart"/>
      <w:r w:rsidRPr="000B49BB">
        <w:t>Working</w:t>
      </w:r>
      <w:proofErr w:type="spellEnd"/>
      <w:r w:rsidRPr="000B49BB">
        <w:t xml:space="preserve"> </w:t>
      </w:r>
      <w:proofErr w:type="spellStart"/>
      <w:r w:rsidRPr="000B49BB">
        <w:t>Paper</w:t>
      </w:r>
      <w:proofErr w:type="spellEnd"/>
      <w:r w:rsidRPr="000B49BB">
        <w:t>, WP/2023/030. </w:t>
      </w:r>
      <w:hyperlink r:id="rId30" w:tgtFrame="_blank" w:history="1">
        <w:r w:rsidRPr="000B49BB">
          <w:rPr>
            <w:rStyle w:val="Hiperhivatkozs"/>
            <w:b/>
            <w:bCs/>
          </w:rPr>
          <w:t>https://www.imf.org/-/media/Files/Publications/WP/2023/English/wpiea2023030-print-pdf.ashx</w:t>
        </w:r>
      </w:hyperlink>
    </w:p>
    <w:p w14:paraId="4D2570FC" w14:textId="77777777" w:rsidR="000B49BB" w:rsidRPr="000B49BB" w:rsidRDefault="000B49BB" w:rsidP="00747F9E">
      <w:pPr>
        <w:ind w:firstLine="284"/>
      </w:pPr>
      <w:proofErr w:type="spellStart"/>
      <w:r w:rsidRPr="000B49BB">
        <w:lastRenderedPageBreak/>
        <w:t>Kuehn</w:t>
      </w:r>
      <w:proofErr w:type="spellEnd"/>
      <w:r w:rsidRPr="000B49BB">
        <w:t xml:space="preserve">, Christian (2011): A </w:t>
      </w:r>
      <w:proofErr w:type="spellStart"/>
      <w:r w:rsidRPr="000B49BB">
        <w:t>mathematical</w:t>
      </w:r>
      <w:proofErr w:type="spellEnd"/>
      <w:r w:rsidRPr="000B49BB">
        <w:t xml:space="preserve"> </w:t>
      </w:r>
      <w:proofErr w:type="spellStart"/>
      <w:r w:rsidRPr="000B49BB">
        <w:t>framework</w:t>
      </w:r>
      <w:proofErr w:type="spellEnd"/>
      <w:r w:rsidRPr="000B49BB">
        <w:t xml:space="preserve"> </w:t>
      </w:r>
      <w:proofErr w:type="spellStart"/>
      <w:r w:rsidRPr="000B49BB">
        <w:t>for</w:t>
      </w:r>
      <w:proofErr w:type="spellEnd"/>
      <w:r w:rsidRPr="000B49BB">
        <w:t xml:space="preserve"> </w:t>
      </w:r>
      <w:proofErr w:type="spellStart"/>
      <w:r w:rsidRPr="000B49BB">
        <w:t>critical</w:t>
      </w:r>
      <w:proofErr w:type="spellEnd"/>
      <w:r w:rsidRPr="000B49BB">
        <w:t xml:space="preserve"> </w:t>
      </w:r>
      <w:proofErr w:type="spellStart"/>
      <w:r w:rsidRPr="000B49BB">
        <w:t>transitions</w:t>
      </w:r>
      <w:proofErr w:type="spellEnd"/>
      <w:r w:rsidRPr="000B49BB">
        <w:t xml:space="preserve">: </w:t>
      </w:r>
      <w:proofErr w:type="spellStart"/>
      <w:r w:rsidRPr="000B49BB">
        <w:t>Bifurcations</w:t>
      </w:r>
      <w:proofErr w:type="spellEnd"/>
      <w:r w:rsidRPr="000B49BB">
        <w:t xml:space="preserve">, </w:t>
      </w:r>
      <w:proofErr w:type="spellStart"/>
      <w:r w:rsidRPr="000B49BB">
        <w:t>fast-slow</w:t>
      </w:r>
      <w:proofErr w:type="spellEnd"/>
      <w:r w:rsidRPr="000B49BB">
        <w:t xml:space="preserve"> </w:t>
      </w:r>
      <w:proofErr w:type="spellStart"/>
      <w:r w:rsidRPr="000B49BB">
        <w:t>systems</w:t>
      </w:r>
      <w:proofErr w:type="spellEnd"/>
      <w:r w:rsidRPr="000B49BB">
        <w:t xml:space="preserve"> and </w:t>
      </w:r>
      <w:proofErr w:type="spellStart"/>
      <w:r w:rsidRPr="000B49BB">
        <w:t>stochastic</w:t>
      </w:r>
      <w:proofErr w:type="spellEnd"/>
      <w:r w:rsidRPr="000B49BB">
        <w:t xml:space="preserve"> </w:t>
      </w:r>
      <w:proofErr w:type="spellStart"/>
      <w:r w:rsidRPr="000B49BB">
        <w:t>dynamics</w:t>
      </w:r>
      <w:proofErr w:type="spellEnd"/>
      <w:r w:rsidRPr="000B49BB">
        <w:t xml:space="preserve">. </w:t>
      </w:r>
      <w:proofErr w:type="spellStart"/>
      <w:r w:rsidRPr="000B49BB">
        <w:t>Physica</w:t>
      </w:r>
      <w:proofErr w:type="spellEnd"/>
      <w:r w:rsidRPr="000B49BB">
        <w:t xml:space="preserve"> D: </w:t>
      </w:r>
      <w:proofErr w:type="spellStart"/>
      <w:r w:rsidRPr="000B49BB">
        <w:t>Nonlinear</w:t>
      </w:r>
      <w:proofErr w:type="spellEnd"/>
      <w:r w:rsidRPr="000B49BB">
        <w:t xml:space="preserve"> </w:t>
      </w:r>
      <w:proofErr w:type="spellStart"/>
      <w:r w:rsidRPr="000B49BB">
        <w:t>Phenomena</w:t>
      </w:r>
      <w:proofErr w:type="spellEnd"/>
      <w:r w:rsidRPr="000B49BB">
        <w:t>, 240. évfolyam 12. szám, 1020-1035. </w:t>
      </w:r>
      <w:hyperlink r:id="rId31" w:tgtFrame="_blank" w:history="1">
        <w:r w:rsidRPr="000B49BB">
          <w:rPr>
            <w:rStyle w:val="Hiperhivatkozs"/>
            <w:b/>
            <w:bCs/>
          </w:rPr>
          <w:t>https://doi.org/10.1016/j.physd.2011.02.012</w:t>
        </w:r>
      </w:hyperlink>
    </w:p>
    <w:p w14:paraId="306C4658" w14:textId="77777777" w:rsidR="000B49BB" w:rsidRPr="000B49BB" w:rsidRDefault="000B49BB" w:rsidP="00747F9E">
      <w:pPr>
        <w:ind w:firstLine="284"/>
      </w:pPr>
      <w:proofErr w:type="spellStart"/>
      <w:r w:rsidRPr="000B49BB">
        <w:t>Milanovic</w:t>
      </w:r>
      <w:proofErr w:type="spellEnd"/>
      <w:r w:rsidRPr="000B49BB">
        <w:t xml:space="preserve">, </w:t>
      </w:r>
      <w:proofErr w:type="spellStart"/>
      <w:r w:rsidRPr="000B49BB">
        <w:t>Branko</w:t>
      </w:r>
      <w:proofErr w:type="spellEnd"/>
      <w:r w:rsidRPr="000B49BB">
        <w:t xml:space="preserve"> (2016): </w:t>
      </w:r>
      <w:proofErr w:type="spellStart"/>
      <w:r w:rsidRPr="000B49BB">
        <w:t>Increasing</w:t>
      </w:r>
      <w:proofErr w:type="spellEnd"/>
      <w:r w:rsidRPr="000B49BB">
        <w:t xml:space="preserve"> </w:t>
      </w:r>
      <w:proofErr w:type="spellStart"/>
      <w:r w:rsidRPr="000B49BB">
        <w:t>capital</w:t>
      </w:r>
      <w:proofErr w:type="spellEnd"/>
      <w:r w:rsidRPr="000B49BB">
        <w:t xml:space="preserve"> </w:t>
      </w:r>
      <w:proofErr w:type="spellStart"/>
      <w:r w:rsidRPr="000B49BB">
        <w:t>income</w:t>
      </w:r>
      <w:proofErr w:type="spellEnd"/>
      <w:r w:rsidRPr="000B49BB">
        <w:t xml:space="preserve"> </w:t>
      </w:r>
      <w:proofErr w:type="spellStart"/>
      <w:r w:rsidRPr="000B49BB">
        <w:t>share</w:t>
      </w:r>
      <w:proofErr w:type="spellEnd"/>
      <w:r w:rsidRPr="000B49BB">
        <w:t xml:space="preserve"> and </w:t>
      </w:r>
      <w:proofErr w:type="spellStart"/>
      <w:r w:rsidRPr="000B49BB">
        <w:t>its</w:t>
      </w:r>
      <w:proofErr w:type="spellEnd"/>
      <w:r w:rsidRPr="000B49BB">
        <w:t xml:space="preserve"> </w:t>
      </w:r>
      <w:proofErr w:type="spellStart"/>
      <w:r w:rsidRPr="000B49BB">
        <w:t>effect</w:t>
      </w:r>
      <w:proofErr w:type="spellEnd"/>
      <w:r w:rsidRPr="000B49BB">
        <w:t xml:space="preserve"> </w:t>
      </w:r>
      <w:proofErr w:type="spellStart"/>
      <w:r w:rsidRPr="000B49BB">
        <w:t>on</w:t>
      </w:r>
      <w:proofErr w:type="spellEnd"/>
      <w:r w:rsidRPr="000B49BB">
        <w:t xml:space="preserve"> </w:t>
      </w:r>
      <w:proofErr w:type="spellStart"/>
      <w:r w:rsidRPr="000B49BB">
        <w:t>personal</w:t>
      </w:r>
      <w:proofErr w:type="spellEnd"/>
      <w:r w:rsidRPr="000B49BB">
        <w:t xml:space="preserve"> </w:t>
      </w:r>
      <w:proofErr w:type="spellStart"/>
      <w:r w:rsidRPr="000B49BB">
        <w:t>income</w:t>
      </w:r>
      <w:proofErr w:type="spellEnd"/>
      <w:r w:rsidRPr="000B49BB">
        <w:t xml:space="preserve"> </w:t>
      </w:r>
      <w:proofErr w:type="spellStart"/>
      <w:r w:rsidRPr="000B49BB">
        <w:t>inequality</w:t>
      </w:r>
      <w:proofErr w:type="spellEnd"/>
      <w:r w:rsidRPr="000B49BB">
        <w:t xml:space="preserve">. LIS </w:t>
      </w:r>
      <w:proofErr w:type="spellStart"/>
      <w:r w:rsidRPr="000B49BB">
        <w:t>Working</w:t>
      </w:r>
      <w:proofErr w:type="spellEnd"/>
      <w:r w:rsidRPr="000B49BB">
        <w:t xml:space="preserve"> </w:t>
      </w:r>
      <w:proofErr w:type="spellStart"/>
      <w:r w:rsidRPr="000B49BB">
        <w:t>Paper</w:t>
      </w:r>
      <w:proofErr w:type="spellEnd"/>
      <w:r w:rsidRPr="000B49BB">
        <w:t xml:space="preserve"> </w:t>
      </w:r>
      <w:proofErr w:type="spellStart"/>
      <w:r w:rsidRPr="000B49BB">
        <w:t>Series</w:t>
      </w:r>
      <w:proofErr w:type="spellEnd"/>
      <w:r w:rsidRPr="000B49BB">
        <w:t>, No. 663. </w:t>
      </w:r>
      <w:hyperlink r:id="rId32" w:tgtFrame="_blank" w:history="1">
        <w:r w:rsidRPr="000B49BB">
          <w:rPr>
            <w:rStyle w:val="Hiperhivatkozs"/>
            <w:b/>
            <w:bCs/>
          </w:rPr>
          <w:t>https://www.econstor.eu/bitstream/10419/169223/1/663.pdf</w:t>
        </w:r>
      </w:hyperlink>
    </w:p>
    <w:p w14:paraId="44D36CCB" w14:textId="77777777" w:rsidR="000B49BB" w:rsidRPr="000B49BB" w:rsidRDefault="000B49BB" w:rsidP="00747F9E">
      <w:pPr>
        <w:ind w:firstLine="284"/>
      </w:pPr>
      <w:proofErr w:type="spellStart"/>
      <w:r w:rsidRPr="000B49BB">
        <w:t>Orrell</w:t>
      </w:r>
      <w:proofErr w:type="spellEnd"/>
      <w:r w:rsidRPr="000B49BB">
        <w:t xml:space="preserve">, David (2018): </w:t>
      </w:r>
      <w:proofErr w:type="spellStart"/>
      <w:r w:rsidRPr="000B49BB">
        <w:t>Quantum</w:t>
      </w:r>
      <w:proofErr w:type="spellEnd"/>
      <w:r w:rsidRPr="000B49BB">
        <w:t xml:space="preserve"> </w:t>
      </w:r>
      <w:proofErr w:type="spellStart"/>
      <w:r w:rsidRPr="000B49BB">
        <w:t>economics</w:t>
      </w:r>
      <w:proofErr w:type="spellEnd"/>
      <w:r w:rsidRPr="000B49BB">
        <w:t xml:space="preserve">. </w:t>
      </w:r>
      <w:proofErr w:type="spellStart"/>
      <w:r w:rsidRPr="000B49BB">
        <w:t>Economic</w:t>
      </w:r>
      <w:proofErr w:type="spellEnd"/>
      <w:r w:rsidRPr="000B49BB">
        <w:t xml:space="preserve"> </w:t>
      </w:r>
      <w:proofErr w:type="spellStart"/>
      <w:r w:rsidRPr="000B49BB">
        <w:t>Thought</w:t>
      </w:r>
      <w:proofErr w:type="spellEnd"/>
      <w:r w:rsidRPr="000B49BB">
        <w:t>, 7. évfolyam 2. szám, 63-86. </w:t>
      </w:r>
      <w:hyperlink r:id="rId33" w:tgtFrame="_blank" w:history="1">
        <w:r w:rsidRPr="000B49BB">
          <w:rPr>
            <w:rStyle w:val="Hiperhivatkozs"/>
            <w:b/>
            <w:bCs/>
          </w:rPr>
          <w:t>http://www.worldeconomicsassociation.org/files/journals/economicthought/WEA-ET-7-2-Orrell.pdf</w:t>
        </w:r>
      </w:hyperlink>
    </w:p>
    <w:p w14:paraId="38D094BF" w14:textId="20474501" w:rsidR="004845F4" w:rsidRPr="000B49BB" w:rsidRDefault="000B49BB" w:rsidP="00747F9E">
      <w:pPr>
        <w:ind w:firstLine="284"/>
      </w:pPr>
      <w:proofErr w:type="spellStart"/>
      <w:r w:rsidRPr="000B49BB">
        <w:t>Orrell</w:t>
      </w:r>
      <w:proofErr w:type="spellEnd"/>
      <w:r w:rsidRPr="000B49BB">
        <w:t>, David (2024):</w:t>
      </w:r>
      <w:r w:rsidR="004845F4">
        <w:t xml:space="preserve"> </w:t>
      </w:r>
      <w:proofErr w:type="spellStart"/>
      <w:r w:rsidR="004845F4" w:rsidRPr="004845F4">
        <w:t>Quantum</w:t>
      </w:r>
      <w:proofErr w:type="spellEnd"/>
      <w:r w:rsidR="004845F4" w:rsidRPr="004845F4">
        <w:t xml:space="preserve"> </w:t>
      </w:r>
      <w:proofErr w:type="spellStart"/>
      <w:r w:rsidR="004845F4" w:rsidRPr="004845F4">
        <w:t>Economics</w:t>
      </w:r>
      <w:proofErr w:type="spellEnd"/>
      <w:r w:rsidR="004845F4" w:rsidRPr="004845F4">
        <w:t xml:space="preserve"> and </w:t>
      </w:r>
      <w:proofErr w:type="spellStart"/>
      <w:r w:rsidR="004845F4" w:rsidRPr="004845F4">
        <w:t>Physics</w:t>
      </w:r>
      <w:proofErr w:type="spellEnd"/>
      <w:r w:rsidR="004845F4" w:rsidRPr="004845F4">
        <w:t>. </w:t>
      </w:r>
      <w:proofErr w:type="spellStart"/>
      <w:r w:rsidR="004845F4" w:rsidRPr="004845F4">
        <w:rPr>
          <w:i/>
          <w:iCs/>
        </w:rPr>
        <w:t>Quantum</w:t>
      </w:r>
      <w:proofErr w:type="spellEnd"/>
      <w:r w:rsidR="004845F4" w:rsidRPr="004845F4">
        <w:rPr>
          <w:i/>
          <w:iCs/>
        </w:rPr>
        <w:t xml:space="preserve"> </w:t>
      </w:r>
      <w:proofErr w:type="spellStart"/>
      <w:r w:rsidR="004845F4" w:rsidRPr="004845F4">
        <w:rPr>
          <w:i/>
          <w:iCs/>
        </w:rPr>
        <w:t>Economics</w:t>
      </w:r>
      <w:proofErr w:type="spellEnd"/>
      <w:r w:rsidR="004845F4" w:rsidRPr="004845F4">
        <w:rPr>
          <w:i/>
          <w:iCs/>
        </w:rPr>
        <w:t xml:space="preserve"> and </w:t>
      </w:r>
      <w:proofErr w:type="spellStart"/>
      <w:r w:rsidR="004845F4" w:rsidRPr="004845F4">
        <w:rPr>
          <w:i/>
          <w:iCs/>
        </w:rPr>
        <w:t>Finance</w:t>
      </w:r>
      <w:proofErr w:type="spellEnd"/>
      <w:r w:rsidR="004845F4" w:rsidRPr="004845F4">
        <w:t>, </w:t>
      </w:r>
      <w:r w:rsidR="004845F4" w:rsidRPr="004845F4">
        <w:rPr>
          <w:i/>
          <w:iCs/>
        </w:rPr>
        <w:t>1</w:t>
      </w:r>
      <w:r w:rsidR="004845F4" w:rsidRPr="004845F4">
        <w:t>(2), 95-102. </w:t>
      </w:r>
      <w:proofErr w:type="spellStart"/>
      <w:r w:rsidR="004845F4">
        <w:t>Sage</w:t>
      </w:r>
      <w:proofErr w:type="spellEnd"/>
      <w:r w:rsidR="004845F4">
        <w:t xml:space="preserve"> Journal. </w:t>
      </w:r>
      <w:hyperlink r:id="rId34" w:history="1">
        <w:r w:rsidR="004845F4" w:rsidRPr="005F7470">
          <w:rPr>
            <w:rStyle w:val="Hiperhivatkozs"/>
          </w:rPr>
          <w:t>https://doi.org/10.1177/29767032241237547</w:t>
        </w:r>
      </w:hyperlink>
    </w:p>
    <w:p w14:paraId="1B53A37A" w14:textId="77777777" w:rsidR="000B49BB" w:rsidRPr="000B49BB" w:rsidRDefault="000B49BB" w:rsidP="00747F9E">
      <w:pPr>
        <w:ind w:firstLine="284"/>
      </w:pPr>
      <w:r w:rsidRPr="000B49BB">
        <w:t xml:space="preserve">QM </w:t>
      </w:r>
      <w:proofErr w:type="spellStart"/>
      <w:r w:rsidRPr="000B49BB">
        <w:t>Ware</w:t>
      </w:r>
      <w:proofErr w:type="spellEnd"/>
      <w:r w:rsidRPr="000B49BB">
        <w:t xml:space="preserve"> (2024, április 24.): Automotive </w:t>
      </w:r>
      <w:proofErr w:type="spellStart"/>
      <w:r w:rsidRPr="000B49BB">
        <w:t>industry</w:t>
      </w:r>
      <w:proofErr w:type="spellEnd"/>
      <w:r w:rsidRPr="000B49BB">
        <w:t xml:space="preserve"> </w:t>
      </w:r>
      <w:proofErr w:type="spellStart"/>
      <w:r w:rsidRPr="000B49BB">
        <w:t>meets</w:t>
      </w:r>
      <w:proofErr w:type="spellEnd"/>
      <w:r w:rsidRPr="000B49BB">
        <w:t xml:space="preserve"> </w:t>
      </w:r>
      <w:proofErr w:type="spellStart"/>
      <w:r w:rsidRPr="000B49BB">
        <w:t>quantum</w:t>
      </w:r>
      <w:proofErr w:type="spellEnd"/>
      <w:r w:rsidRPr="000B49BB">
        <w:t xml:space="preserve">: </w:t>
      </w:r>
      <w:proofErr w:type="spellStart"/>
      <w:r w:rsidRPr="000B49BB">
        <w:t>Use</w:t>
      </w:r>
      <w:proofErr w:type="spellEnd"/>
      <w:r w:rsidRPr="000B49BB">
        <w:t xml:space="preserve"> cases. </w:t>
      </w:r>
      <w:hyperlink r:id="rId35" w:tgtFrame="_blank" w:history="1">
        <w:r w:rsidRPr="000B49BB">
          <w:rPr>
            <w:rStyle w:val="Hiperhivatkozs"/>
            <w:b/>
            <w:bCs/>
          </w:rPr>
          <w:t>https://www.qm-ware.com/use-cases/automotive-meets-quantum/</w:t>
        </w:r>
      </w:hyperlink>
      <w:r w:rsidRPr="000B49BB">
        <w:t> Letöltve: 2025. október 31.</w:t>
      </w:r>
    </w:p>
    <w:p w14:paraId="72B33CFC" w14:textId="77777777" w:rsidR="000B49BB" w:rsidRPr="000B49BB" w:rsidRDefault="000B49BB" w:rsidP="00747F9E">
      <w:pPr>
        <w:ind w:firstLine="284"/>
      </w:pPr>
      <w:proofErr w:type="spellStart"/>
      <w:r w:rsidRPr="000B49BB">
        <w:t>Rodrik</w:t>
      </w:r>
      <w:proofErr w:type="spellEnd"/>
      <w:r w:rsidRPr="000B49BB">
        <w:t xml:space="preserve">, Dani (2015): </w:t>
      </w:r>
      <w:proofErr w:type="spellStart"/>
      <w:r w:rsidRPr="000B49BB">
        <w:t>Economics</w:t>
      </w:r>
      <w:proofErr w:type="spellEnd"/>
      <w:r w:rsidRPr="000B49BB">
        <w:t xml:space="preserve"> </w:t>
      </w:r>
      <w:proofErr w:type="spellStart"/>
      <w:r w:rsidRPr="000B49BB">
        <w:t>rules</w:t>
      </w:r>
      <w:proofErr w:type="spellEnd"/>
      <w:r w:rsidRPr="000B49BB">
        <w:t xml:space="preserve">: The </w:t>
      </w:r>
      <w:proofErr w:type="spellStart"/>
      <w:r w:rsidRPr="000B49BB">
        <w:t>rights</w:t>
      </w:r>
      <w:proofErr w:type="spellEnd"/>
      <w:r w:rsidRPr="000B49BB">
        <w:t xml:space="preserve"> and </w:t>
      </w:r>
      <w:proofErr w:type="spellStart"/>
      <w:r w:rsidRPr="000B49BB">
        <w:t>wrongs</w:t>
      </w:r>
      <w:proofErr w:type="spellEnd"/>
      <w:r w:rsidRPr="000B49BB">
        <w:t xml:space="preserve"> of </w:t>
      </w:r>
      <w:proofErr w:type="spellStart"/>
      <w:r w:rsidRPr="000B49BB">
        <w:t>the</w:t>
      </w:r>
      <w:proofErr w:type="spellEnd"/>
      <w:r w:rsidRPr="000B49BB">
        <w:t xml:space="preserve"> </w:t>
      </w:r>
      <w:proofErr w:type="spellStart"/>
      <w:r w:rsidRPr="000B49BB">
        <w:t>dismal</w:t>
      </w:r>
      <w:proofErr w:type="spellEnd"/>
      <w:r w:rsidRPr="000B49BB">
        <w:t xml:space="preserve"> </w:t>
      </w:r>
      <w:proofErr w:type="spellStart"/>
      <w:r w:rsidRPr="000B49BB">
        <w:t>science</w:t>
      </w:r>
      <w:proofErr w:type="spellEnd"/>
      <w:r w:rsidRPr="000B49BB">
        <w:t xml:space="preserve">. New York, W. W. Norton &amp; </w:t>
      </w:r>
      <w:proofErr w:type="spellStart"/>
      <w:r w:rsidRPr="000B49BB">
        <w:t>Company</w:t>
      </w:r>
      <w:proofErr w:type="spellEnd"/>
      <w:r w:rsidRPr="000B49BB">
        <w:t>.</w:t>
      </w:r>
    </w:p>
    <w:p w14:paraId="61377C31" w14:textId="77777777" w:rsidR="000B49BB" w:rsidRPr="000B49BB" w:rsidRDefault="000B49BB" w:rsidP="00747F9E">
      <w:pPr>
        <w:ind w:firstLine="284"/>
      </w:pPr>
      <w:proofErr w:type="spellStart"/>
      <w:r w:rsidRPr="000B49BB">
        <w:t>Scheffer</w:t>
      </w:r>
      <w:proofErr w:type="spellEnd"/>
      <w:r w:rsidRPr="000B49BB">
        <w:t xml:space="preserve">, </w:t>
      </w:r>
      <w:proofErr w:type="spellStart"/>
      <w:r w:rsidRPr="000B49BB">
        <w:t>Marten</w:t>
      </w:r>
      <w:proofErr w:type="spellEnd"/>
      <w:r w:rsidRPr="000B49BB">
        <w:t xml:space="preserve"> (2009): </w:t>
      </w:r>
      <w:proofErr w:type="spellStart"/>
      <w:r w:rsidRPr="000B49BB">
        <w:t>Critical</w:t>
      </w:r>
      <w:proofErr w:type="spellEnd"/>
      <w:r w:rsidRPr="000B49BB">
        <w:t xml:space="preserve"> </w:t>
      </w:r>
      <w:proofErr w:type="spellStart"/>
      <w:r w:rsidRPr="000B49BB">
        <w:t>transitions</w:t>
      </w:r>
      <w:proofErr w:type="spellEnd"/>
      <w:r w:rsidRPr="000B49BB">
        <w:t xml:space="preserve"> in </w:t>
      </w:r>
      <w:proofErr w:type="spellStart"/>
      <w:r w:rsidRPr="000B49BB">
        <w:t>nature</w:t>
      </w:r>
      <w:proofErr w:type="spellEnd"/>
      <w:r w:rsidRPr="000B49BB">
        <w:t xml:space="preserve"> and </w:t>
      </w:r>
      <w:proofErr w:type="spellStart"/>
      <w:r w:rsidRPr="000B49BB">
        <w:t>society</w:t>
      </w:r>
      <w:proofErr w:type="spellEnd"/>
      <w:r w:rsidRPr="000B49BB">
        <w:t>. Princeton, Princeton University Press. </w:t>
      </w:r>
      <w:hyperlink r:id="rId36" w:tgtFrame="_blank" w:history="1">
        <w:r w:rsidRPr="000B49BB">
          <w:rPr>
            <w:rStyle w:val="Hiperhivatkozs"/>
            <w:b/>
            <w:bCs/>
          </w:rPr>
          <w:t>https://doi.org/10.1515/9781400833276</w:t>
        </w:r>
      </w:hyperlink>
    </w:p>
    <w:p w14:paraId="28A44C54" w14:textId="77777777" w:rsidR="000B49BB" w:rsidRPr="000B49BB" w:rsidRDefault="000B49BB" w:rsidP="00747F9E">
      <w:pPr>
        <w:ind w:firstLine="284"/>
      </w:pPr>
      <w:proofErr w:type="spellStart"/>
      <w:r w:rsidRPr="000B49BB">
        <w:t>Scheffer</w:t>
      </w:r>
      <w:proofErr w:type="spellEnd"/>
      <w:r w:rsidRPr="000B49BB">
        <w:t xml:space="preserve">, </w:t>
      </w:r>
      <w:proofErr w:type="spellStart"/>
      <w:r w:rsidRPr="000B49BB">
        <w:t>Marten</w:t>
      </w:r>
      <w:proofErr w:type="spellEnd"/>
      <w:r w:rsidRPr="000B49BB">
        <w:t xml:space="preserve"> – </w:t>
      </w:r>
      <w:proofErr w:type="spellStart"/>
      <w:r w:rsidRPr="000B49BB">
        <w:t>Bascompte</w:t>
      </w:r>
      <w:proofErr w:type="spellEnd"/>
      <w:r w:rsidRPr="000B49BB">
        <w:t xml:space="preserve">, </w:t>
      </w:r>
      <w:proofErr w:type="spellStart"/>
      <w:r w:rsidRPr="000B49BB">
        <w:t>Jordi</w:t>
      </w:r>
      <w:proofErr w:type="spellEnd"/>
      <w:r w:rsidRPr="000B49BB">
        <w:t xml:space="preserve"> – </w:t>
      </w:r>
      <w:proofErr w:type="spellStart"/>
      <w:r w:rsidRPr="000B49BB">
        <w:t>Brock</w:t>
      </w:r>
      <w:proofErr w:type="spellEnd"/>
      <w:r w:rsidRPr="000B49BB">
        <w:t xml:space="preserve">, William A. – </w:t>
      </w:r>
      <w:proofErr w:type="spellStart"/>
      <w:r w:rsidRPr="000B49BB">
        <w:t>Brovkin</w:t>
      </w:r>
      <w:proofErr w:type="spellEnd"/>
      <w:r w:rsidRPr="000B49BB">
        <w:t xml:space="preserve">, Victor – </w:t>
      </w:r>
      <w:proofErr w:type="spellStart"/>
      <w:r w:rsidRPr="000B49BB">
        <w:t>Carpenter</w:t>
      </w:r>
      <w:proofErr w:type="spellEnd"/>
      <w:r w:rsidRPr="000B49BB">
        <w:t xml:space="preserve">, Stephen R. – </w:t>
      </w:r>
      <w:proofErr w:type="spellStart"/>
      <w:r w:rsidRPr="000B49BB">
        <w:t>Dakos</w:t>
      </w:r>
      <w:proofErr w:type="spellEnd"/>
      <w:r w:rsidRPr="000B49BB">
        <w:t xml:space="preserve">, </w:t>
      </w:r>
      <w:proofErr w:type="spellStart"/>
      <w:r w:rsidRPr="000B49BB">
        <w:t>Vasilis</w:t>
      </w:r>
      <w:proofErr w:type="spellEnd"/>
      <w:r w:rsidRPr="000B49BB">
        <w:t xml:space="preserve"> – </w:t>
      </w:r>
      <w:proofErr w:type="spellStart"/>
      <w:r w:rsidRPr="000B49BB">
        <w:t>Held</w:t>
      </w:r>
      <w:proofErr w:type="spellEnd"/>
      <w:r w:rsidRPr="000B49BB">
        <w:t xml:space="preserve">, Hermann – van </w:t>
      </w:r>
      <w:proofErr w:type="spellStart"/>
      <w:r w:rsidRPr="000B49BB">
        <w:t>Nes</w:t>
      </w:r>
      <w:proofErr w:type="spellEnd"/>
      <w:r w:rsidRPr="000B49BB">
        <w:t xml:space="preserve">, Egbert H. – </w:t>
      </w:r>
      <w:proofErr w:type="spellStart"/>
      <w:r w:rsidRPr="000B49BB">
        <w:t>Rietkerk</w:t>
      </w:r>
      <w:proofErr w:type="spellEnd"/>
      <w:r w:rsidRPr="000B49BB">
        <w:t xml:space="preserve">, Max – </w:t>
      </w:r>
      <w:proofErr w:type="spellStart"/>
      <w:r w:rsidRPr="000B49BB">
        <w:t>Sugihara</w:t>
      </w:r>
      <w:proofErr w:type="spellEnd"/>
      <w:r w:rsidRPr="000B49BB">
        <w:t xml:space="preserve">, George (2009): </w:t>
      </w:r>
      <w:proofErr w:type="spellStart"/>
      <w:r w:rsidRPr="000B49BB">
        <w:t>Early-warning</w:t>
      </w:r>
      <w:proofErr w:type="spellEnd"/>
      <w:r w:rsidRPr="000B49BB">
        <w:t xml:space="preserve"> </w:t>
      </w:r>
      <w:proofErr w:type="spellStart"/>
      <w:r w:rsidRPr="000B49BB">
        <w:t>signals</w:t>
      </w:r>
      <w:proofErr w:type="spellEnd"/>
      <w:r w:rsidRPr="000B49BB">
        <w:t xml:space="preserve"> </w:t>
      </w:r>
      <w:proofErr w:type="spellStart"/>
      <w:r w:rsidRPr="000B49BB">
        <w:t>for</w:t>
      </w:r>
      <w:proofErr w:type="spellEnd"/>
      <w:r w:rsidRPr="000B49BB">
        <w:t xml:space="preserve"> </w:t>
      </w:r>
      <w:proofErr w:type="spellStart"/>
      <w:r w:rsidRPr="000B49BB">
        <w:t>critical</w:t>
      </w:r>
      <w:proofErr w:type="spellEnd"/>
      <w:r w:rsidRPr="000B49BB">
        <w:t xml:space="preserve"> </w:t>
      </w:r>
      <w:proofErr w:type="spellStart"/>
      <w:r w:rsidRPr="000B49BB">
        <w:t>transitions</w:t>
      </w:r>
      <w:proofErr w:type="spellEnd"/>
      <w:r w:rsidRPr="000B49BB">
        <w:t xml:space="preserve">. </w:t>
      </w:r>
      <w:proofErr w:type="spellStart"/>
      <w:r w:rsidRPr="000B49BB">
        <w:t>Nature</w:t>
      </w:r>
      <w:proofErr w:type="spellEnd"/>
      <w:r w:rsidRPr="000B49BB">
        <w:t>, 461. évfolyam, 53-59. </w:t>
      </w:r>
      <w:hyperlink r:id="rId37" w:tgtFrame="_blank" w:history="1">
        <w:r w:rsidRPr="000B49BB">
          <w:rPr>
            <w:rStyle w:val="Hiperhivatkozs"/>
            <w:b/>
            <w:bCs/>
          </w:rPr>
          <w:t>https://doi.org/10.1038/nature08227</w:t>
        </w:r>
      </w:hyperlink>
    </w:p>
    <w:p w14:paraId="4210F4E7" w14:textId="77777777" w:rsidR="000B49BB" w:rsidRPr="000B49BB" w:rsidRDefault="000B49BB" w:rsidP="00747F9E">
      <w:pPr>
        <w:ind w:firstLine="284"/>
      </w:pPr>
      <w:r w:rsidRPr="000B49BB">
        <w:t xml:space="preserve">SUERF (2025): </w:t>
      </w:r>
      <w:proofErr w:type="spellStart"/>
      <w:r w:rsidRPr="000B49BB">
        <w:t>Beyond</w:t>
      </w:r>
      <w:proofErr w:type="spellEnd"/>
      <w:r w:rsidRPr="000B49BB">
        <w:t xml:space="preserve"> </w:t>
      </w:r>
      <w:proofErr w:type="spellStart"/>
      <w:r w:rsidRPr="000B49BB">
        <w:t>averages</w:t>
      </w:r>
      <w:proofErr w:type="spellEnd"/>
      <w:r w:rsidRPr="000B49BB">
        <w:t xml:space="preserve">: </w:t>
      </w:r>
      <w:proofErr w:type="spellStart"/>
      <w:r w:rsidRPr="000B49BB">
        <w:t>Heterogeneous</w:t>
      </w:r>
      <w:proofErr w:type="spellEnd"/>
      <w:r w:rsidRPr="000B49BB">
        <w:t xml:space="preserve"> </w:t>
      </w:r>
      <w:proofErr w:type="spellStart"/>
      <w:r w:rsidRPr="000B49BB">
        <w:t>effects</w:t>
      </w:r>
      <w:proofErr w:type="spellEnd"/>
      <w:r w:rsidRPr="000B49BB">
        <w:t xml:space="preserve"> of </w:t>
      </w:r>
      <w:proofErr w:type="spellStart"/>
      <w:r w:rsidRPr="000B49BB">
        <w:t>monetary</w:t>
      </w:r>
      <w:proofErr w:type="spellEnd"/>
      <w:r w:rsidRPr="000B49BB">
        <w:t xml:space="preserve"> policy in </w:t>
      </w:r>
      <w:proofErr w:type="spellStart"/>
      <w:r w:rsidRPr="000B49BB">
        <w:t>the</w:t>
      </w:r>
      <w:proofErr w:type="spellEnd"/>
      <w:r w:rsidRPr="000B49BB">
        <w:t xml:space="preserve"> Euro </w:t>
      </w:r>
      <w:proofErr w:type="spellStart"/>
      <w:r w:rsidRPr="000B49BB">
        <w:t>Area</w:t>
      </w:r>
      <w:proofErr w:type="spellEnd"/>
      <w:r w:rsidRPr="000B49BB">
        <w:t>. SUERF Policy Note. </w:t>
      </w:r>
      <w:hyperlink r:id="rId38" w:tgtFrame="_blank" w:history="1">
        <w:r w:rsidRPr="000B49BB">
          <w:rPr>
            <w:rStyle w:val="Hiperhivatkozs"/>
            <w:b/>
            <w:bCs/>
          </w:rPr>
          <w:t>https://www.suerf.org/publications/suerf-policy-notes-and-briefs/beyond-averages-heterogeneous-effects-of-monetary-policy-in-the-euro-area/</w:t>
        </w:r>
      </w:hyperlink>
    </w:p>
    <w:p w14:paraId="1F901936" w14:textId="77777777" w:rsidR="000B49BB" w:rsidRPr="000B49BB" w:rsidRDefault="000B49BB" w:rsidP="00747F9E">
      <w:pPr>
        <w:ind w:firstLine="284"/>
      </w:pPr>
      <w:r w:rsidRPr="000B49BB">
        <w:t>Váradi Dániel (2023): Az EU monitoring rendszernek mesterséges intelligencia alapokra helyezése. Szakdolgozat, Kodolányi János Egyetem, Budapest.</w:t>
      </w:r>
    </w:p>
    <w:p w14:paraId="7623F78B" w14:textId="77777777" w:rsidR="000B49BB" w:rsidRPr="000B49BB" w:rsidRDefault="000B49BB" w:rsidP="00747F9E">
      <w:pPr>
        <w:ind w:firstLine="284"/>
      </w:pPr>
      <w:r w:rsidRPr="000B49BB">
        <w:t xml:space="preserve">Váradi Dániel (2025): Budapesti kerületek és a közvetlen szomszédságot jelentő települések kulturális kohéziójának automatizált mérése mesterséges intelligencia segítségével. </w:t>
      </w:r>
      <w:proofErr w:type="spellStart"/>
      <w:r w:rsidRPr="000B49BB">
        <w:t>MSc</w:t>
      </w:r>
      <w:proofErr w:type="spellEnd"/>
      <w:r w:rsidRPr="000B49BB">
        <w:t xml:space="preserve"> diplomamunka, Kodolányi János Egyetem, Budapest.</w:t>
      </w:r>
    </w:p>
    <w:p w14:paraId="5CDC81E9" w14:textId="77777777" w:rsidR="000B49BB" w:rsidRPr="000B49BB" w:rsidRDefault="000B49BB" w:rsidP="00747F9E">
      <w:pPr>
        <w:ind w:firstLine="284"/>
      </w:pPr>
      <w:r w:rsidRPr="000B49BB">
        <w:t>Váradi Dániel – Pitlik László (2023): A homogenitás és az autonómia fogalmak kapcsolata egymással és a mesterséges intelligencia lehetőségeivel. Autonómia és Társadalom, 3. évfolyam 3-4. szám, 94-111.</w:t>
      </w:r>
    </w:p>
    <w:p w14:paraId="1270AF93" w14:textId="77777777" w:rsidR="000B49BB" w:rsidRPr="000B49BB" w:rsidRDefault="000B49BB" w:rsidP="00747F9E">
      <w:pPr>
        <w:ind w:firstLine="284"/>
      </w:pPr>
      <w:r w:rsidRPr="000B49BB">
        <w:lastRenderedPageBreak/>
        <w:t xml:space="preserve">Váradi Dániel – Pitlik László </w:t>
      </w:r>
      <w:proofErr w:type="spellStart"/>
      <w:r w:rsidRPr="000B49BB">
        <w:t>Jr</w:t>
      </w:r>
      <w:proofErr w:type="spellEnd"/>
      <w:r w:rsidRPr="000B49BB">
        <w:t xml:space="preserve">. – Pitlik Mátyás – Pitlik László (2024): </w:t>
      </w:r>
      <w:proofErr w:type="spellStart"/>
      <w:r w:rsidRPr="000B49BB">
        <w:t>Homogeneity</w:t>
      </w:r>
      <w:proofErr w:type="spellEnd"/>
      <w:r w:rsidRPr="000B49BB">
        <w:t xml:space="preserve"> </w:t>
      </w:r>
      <w:proofErr w:type="spellStart"/>
      <w:r w:rsidRPr="000B49BB">
        <w:t>analysis</w:t>
      </w:r>
      <w:proofErr w:type="spellEnd"/>
      <w:r w:rsidRPr="000B49BB">
        <w:t xml:space="preserve"> </w:t>
      </w:r>
      <w:proofErr w:type="spellStart"/>
      <w:r w:rsidRPr="000B49BB">
        <w:t>for</w:t>
      </w:r>
      <w:proofErr w:type="spellEnd"/>
      <w:r w:rsidRPr="000B49BB">
        <w:t xml:space="preserve"> </w:t>
      </w:r>
      <w:proofErr w:type="spellStart"/>
      <w:r w:rsidRPr="000B49BB">
        <w:t>sustainable</w:t>
      </w:r>
      <w:proofErr w:type="spellEnd"/>
      <w:r w:rsidRPr="000B49BB">
        <w:t xml:space="preserve"> </w:t>
      </w:r>
      <w:proofErr w:type="spellStart"/>
      <w:r w:rsidRPr="000B49BB">
        <w:t>regions</w:t>
      </w:r>
      <w:proofErr w:type="spellEnd"/>
      <w:r w:rsidRPr="000B49BB">
        <w:t xml:space="preserve">: </w:t>
      </w:r>
      <w:proofErr w:type="spellStart"/>
      <w:r w:rsidRPr="000B49BB">
        <w:t>Case</w:t>
      </w:r>
      <w:proofErr w:type="spellEnd"/>
      <w:r w:rsidRPr="000B49BB">
        <w:t xml:space="preserve"> </w:t>
      </w:r>
      <w:proofErr w:type="spellStart"/>
      <w:r w:rsidRPr="000B49BB">
        <w:t>study</w:t>
      </w:r>
      <w:proofErr w:type="spellEnd"/>
      <w:r w:rsidRPr="000B49BB">
        <w:t xml:space="preserve"> Mezőföld. In: 5th International </w:t>
      </w:r>
      <w:proofErr w:type="spellStart"/>
      <w:r w:rsidRPr="000B49BB">
        <w:t>Congress</w:t>
      </w:r>
      <w:proofErr w:type="spellEnd"/>
      <w:r w:rsidRPr="000B49BB">
        <w:t xml:space="preserve"> </w:t>
      </w:r>
      <w:proofErr w:type="spellStart"/>
      <w:r w:rsidRPr="000B49BB">
        <w:t>on</w:t>
      </w:r>
      <w:proofErr w:type="spellEnd"/>
      <w:r w:rsidRPr="000B49BB">
        <w:t xml:space="preserve"> </w:t>
      </w:r>
      <w:proofErr w:type="spellStart"/>
      <w:r w:rsidRPr="000B49BB">
        <w:t>Scientific</w:t>
      </w:r>
      <w:proofErr w:type="spellEnd"/>
      <w:r w:rsidRPr="000B49BB">
        <w:t xml:space="preserve"> Research, IKSAD Institute, 1-15. </w:t>
      </w:r>
      <w:hyperlink r:id="rId39" w:tgtFrame="_blank" w:history="1">
        <w:r w:rsidRPr="000B49BB">
          <w:rPr>
            <w:rStyle w:val="Hiperhivatkozs"/>
            <w:b/>
            <w:bCs/>
          </w:rPr>
          <w:t>https://miau.my-x.hu/miau/311/KAYSER%C4%B0%20KONGRE%20K%C4%B0TABI%20SON.pdf</w:t>
        </w:r>
      </w:hyperlink>
    </w:p>
    <w:p w14:paraId="67653DDD" w14:textId="77777777" w:rsidR="00A64720" w:rsidRPr="00BE6A53" w:rsidRDefault="00A64720" w:rsidP="00CE0D1C">
      <w:pPr>
        <w:ind w:firstLine="0"/>
      </w:pPr>
    </w:p>
    <w:sectPr w:rsidR="00A64720" w:rsidRPr="00BE6A53" w:rsidSect="00467B9A">
      <w:footerReference w:type="default" r:id="rId4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DEAD" w14:textId="77777777" w:rsidR="004D1A88" w:rsidRPr="003E168A" w:rsidRDefault="004D1A88" w:rsidP="00360A3B">
      <w:pPr>
        <w:spacing w:line="240" w:lineRule="auto"/>
      </w:pPr>
      <w:r w:rsidRPr="003E168A">
        <w:separator/>
      </w:r>
    </w:p>
  </w:endnote>
  <w:endnote w:type="continuationSeparator" w:id="0">
    <w:p w14:paraId="48E7C5B8" w14:textId="77777777" w:rsidR="004D1A88" w:rsidRPr="003E168A" w:rsidRDefault="004D1A88" w:rsidP="00360A3B">
      <w:pPr>
        <w:spacing w:line="240" w:lineRule="auto"/>
      </w:pPr>
      <w:r w:rsidRPr="003E16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132457"/>
      <w:docPartObj>
        <w:docPartGallery w:val="Page Numbers (Bottom of Page)"/>
        <w:docPartUnique/>
      </w:docPartObj>
    </w:sdtPr>
    <w:sdtContent>
      <w:p w14:paraId="4F631AD0" w14:textId="287A08C7" w:rsidR="00467B9A" w:rsidRPr="003E168A" w:rsidRDefault="00467B9A">
        <w:pPr>
          <w:pStyle w:val="llb"/>
          <w:jc w:val="right"/>
        </w:pPr>
        <w:r w:rsidRPr="003E168A">
          <w:fldChar w:fldCharType="begin"/>
        </w:r>
        <w:r w:rsidRPr="003E168A">
          <w:instrText>PAGE   \* MERGEFORMAT</w:instrText>
        </w:r>
        <w:r w:rsidRPr="003E168A">
          <w:fldChar w:fldCharType="separate"/>
        </w:r>
        <w:r w:rsidRPr="003E168A">
          <w:t>2</w:t>
        </w:r>
        <w:r w:rsidRPr="003E168A">
          <w:fldChar w:fldCharType="end"/>
        </w:r>
      </w:p>
    </w:sdtContent>
  </w:sdt>
  <w:p w14:paraId="7224BC16" w14:textId="77777777" w:rsidR="00467B9A" w:rsidRPr="003E168A" w:rsidRDefault="00467B9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40DD" w14:textId="77777777" w:rsidR="004D1A88" w:rsidRPr="003E168A" w:rsidRDefault="004D1A88" w:rsidP="00360A3B">
      <w:pPr>
        <w:spacing w:line="240" w:lineRule="auto"/>
      </w:pPr>
      <w:r w:rsidRPr="003E168A">
        <w:separator/>
      </w:r>
    </w:p>
  </w:footnote>
  <w:footnote w:type="continuationSeparator" w:id="0">
    <w:p w14:paraId="43C001A8" w14:textId="77777777" w:rsidR="004D1A88" w:rsidRPr="003E168A" w:rsidRDefault="004D1A88" w:rsidP="00360A3B">
      <w:pPr>
        <w:spacing w:line="240" w:lineRule="auto"/>
      </w:pPr>
      <w:r w:rsidRPr="003E168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3FC"/>
    <w:multiLevelType w:val="multilevel"/>
    <w:tmpl w:val="AC98F876"/>
    <w:lvl w:ilvl="0">
      <w:start w:val="1"/>
      <w:numFmt w:val="bullet"/>
      <w:lvlText w:val=""/>
      <w:lvlJc w:val="left"/>
      <w:pPr>
        <w:ind w:left="1776" w:hanging="360"/>
      </w:pPr>
      <w:rPr>
        <w:rFonts w:ascii="Symbol" w:hAnsi="Symbol" w:hint="default"/>
      </w:rPr>
    </w:lvl>
    <w:lvl w:ilvl="1">
      <w:start w:val="1"/>
      <w:numFmt w:val="bullet"/>
      <w:lvlText w:val=""/>
      <w:lvlJc w:val="left"/>
      <w:pPr>
        <w:ind w:left="9855" w:hanging="360"/>
      </w:pPr>
      <w:rPr>
        <w:rFonts w:ascii="Symbol" w:hAnsi="Symbol"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1" w15:restartNumberingAfterBreak="0">
    <w:nsid w:val="337E3138"/>
    <w:multiLevelType w:val="hybridMultilevel"/>
    <w:tmpl w:val="EE8028B6"/>
    <w:lvl w:ilvl="0" w:tplc="040E0001">
      <w:start w:val="1"/>
      <w:numFmt w:val="bullet"/>
      <w:lvlText w:val=""/>
      <w:lvlJc w:val="left"/>
      <w:pPr>
        <w:ind w:left="1060" w:hanging="360"/>
      </w:pPr>
      <w:rPr>
        <w:rFonts w:ascii="Symbol" w:hAnsi="Symbol" w:hint="default"/>
      </w:rPr>
    </w:lvl>
    <w:lvl w:ilvl="1" w:tplc="040E0003" w:tentative="1">
      <w:start w:val="1"/>
      <w:numFmt w:val="bullet"/>
      <w:lvlText w:val="o"/>
      <w:lvlJc w:val="left"/>
      <w:pPr>
        <w:ind w:left="1780" w:hanging="360"/>
      </w:pPr>
      <w:rPr>
        <w:rFonts w:ascii="Courier New" w:hAnsi="Courier New" w:cs="Courier New" w:hint="default"/>
      </w:rPr>
    </w:lvl>
    <w:lvl w:ilvl="2" w:tplc="040E0005" w:tentative="1">
      <w:start w:val="1"/>
      <w:numFmt w:val="bullet"/>
      <w:lvlText w:val=""/>
      <w:lvlJc w:val="left"/>
      <w:pPr>
        <w:ind w:left="2500" w:hanging="360"/>
      </w:pPr>
      <w:rPr>
        <w:rFonts w:ascii="Wingdings" w:hAnsi="Wingdings" w:hint="default"/>
      </w:rPr>
    </w:lvl>
    <w:lvl w:ilvl="3" w:tplc="040E0001" w:tentative="1">
      <w:start w:val="1"/>
      <w:numFmt w:val="bullet"/>
      <w:lvlText w:val=""/>
      <w:lvlJc w:val="left"/>
      <w:pPr>
        <w:ind w:left="3220" w:hanging="360"/>
      </w:pPr>
      <w:rPr>
        <w:rFonts w:ascii="Symbol" w:hAnsi="Symbol" w:hint="default"/>
      </w:rPr>
    </w:lvl>
    <w:lvl w:ilvl="4" w:tplc="040E0003" w:tentative="1">
      <w:start w:val="1"/>
      <w:numFmt w:val="bullet"/>
      <w:lvlText w:val="o"/>
      <w:lvlJc w:val="left"/>
      <w:pPr>
        <w:ind w:left="3940" w:hanging="360"/>
      </w:pPr>
      <w:rPr>
        <w:rFonts w:ascii="Courier New" w:hAnsi="Courier New" w:cs="Courier New" w:hint="default"/>
      </w:rPr>
    </w:lvl>
    <w:lvl w:ilvl="5" w:tplc="040E0005" w:tentative="1">
      <w:start w:val="1"/>
      <w:numFmt w:val="bullet"/>
      <w:lvlText w:val=""/>
      <w:lvlJc w:val="left"/>
      <w:pPr>
        <w:ind w:left="4660" w:hanging="360"/>
      </w:pPr>
      <w:rPr>
        <w:rFonts w:ascii="Wingdings" w:hAnsi="Wingdings" w:hint="default"/>
      </w:rPr>
    </w:lvl>
    <w:lvl w:ilvl="6" w:tplc="040E0001" w:tentative="1">
      <w:start w:val="1"/>
      <w:numFmt w:val="bullet"/>
      <w:lvlText w:val=""/>
      <w:lvlJc w:val="left"/>
      <w:pPr>
        <w:ind w:left="5380" w:hanging="360"/>
      </w:pPr>
      <w:rPr>
        <w:rFonts w:ascii="Symbol" w:hAnsi="Symbol" w:hint="default"/>
      </w:rPr>
    </w:lvl>
    <w:lvl w:ilvl="7" w:tplc="040E0003" w:tentative="1">
      <w:start w:val="1"/>
      <w:numFmt w:val="bullet"/>
      <w:lvlText w:val="o"/>
      <w:lvlJc w:val="left"/>
      <w:pPr>
        <w:ind w:left="6100" w:hanging="360"/>
      </w:pPr>
      <w:rPr>
        <w:rFonts w:ascii="Courier New" w:hAnsi="Courier New" w:cs="Courier New" w:hint="default"/>
      </w:rPr>
    </w:lvl>
    <w:lvl w:ilvl="8" w:tplc="040E0005" w:tentative="1">
      <w:start w:val="1"/>
      <w:numFmt w:val="bullet"/>
      <w:lvlText w:val=""/>
      <w:lvlJc w:val="left"/>
      <w:pPr>
        <w:ind w:left="6820" w:hanging="360"/>
      </w:pPr>
      <w:rPr>
        <w:rFonts w:ascii="Wingdings" w:hAnsi="Wingdings" w:hint="default"/>
      </w:rPr>
    </w:lvl>
  </w:abstractNum>
  <w:abstractNum w:abstractNumId="2" w15:restartNumberingAfterBreak="0">
    <w:nsid w:val="33AC1C76"/>
    <w:multiLevelType w:val="multilevel"/>
    <w:tmpl w:val="8FB457C2"/>
    <w:lvl w:ilvl="0">
      <w:start w:val="1"/>
      <w:numFmt w:val="bullet"/>
      <w:lvlText w:val=""/>
      <w:lvlJc w:val="left"/>
      <w:pPr>
        <w:ind w:left="1068" w:hanging="360"/>
      </w:pPr>
      <w:rPr>
        <w:rFonts w:ascii="Symbol" w:hAnsi="Symbol" w:hint="default"/>
      </w:rPr>
    </w:lvl>
    <w:lvl w:ilvl="1">
      <w:start w:val="1"/>
      <w:numFmt w:val="decimal"/>
      <w:lvlText w:val="%1.%2."/>
      <w:lvlJc w:val="left"/>
      <w:pPr>
        <w:ind w:left="9219"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4AAB3CFD"/>
    <w:multiLevelType w:val="multilevel"/>
    <w:tmpl w:val="BD363FC4"/>
    <w:lvl w:ilvl="0">
      <w:start w:val="1"/>
      <w:numFmt w:val="decimal"/>
      <w:pStyle w:val="fejezet1"/>
      <w:lvlText w:val="%1."/>
      <w:lvlJc w:val="left"/>
      <w:pPr>
        <w:ind w:left="360" w:hanging="360"/>
      </w:pPr>
      <w:rPr>
        <w:rFonts w:hint="default"/>
      </w:rPr>
    </w:lvl>
    <w:lvl w:ilvl="1">
      <w:start w:val="1"/>
      <w:numFmt w:val="decimal"/>
      <w:pStyle w:val="fejezet2"/>
      <w:lvlText w:val="%1.%2."/>
      <w:lvlJc w:val="left"/>
      <w:pPr>
        <w:ind w:left="8511" w:hanging="432"/>
      </w:pPr>
      <w:rPr>
        <w:rFonts w:hint="default"/>
      </w:rPr>
    </w:lvl>
    <w:lvl w:ilvl="2">
      <w:start w:val="1"/>
      <w:numFmt w:val="decimal"/>
      <w:pStyle w:val="fejeze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400C92"/>
    <w:multiLevelType w:val="multilevel"/>
    <w:tmpl w:val="8FB457C2"/>
    <w:lvl w:ilvl="0">
      <w:start w:val="1"/>
      <w:numFmt w:val="bullet"/>
      <w:lvlText w:val=""/>
      <w:lvlJc w:val="left"/>
      <w:pPr>
        <w:ind w:left="360" w:hanging="360"/>
      </w:pPr>
      <w:rPr>
        <w:rFonts w:ascii="Symbol" w:hAnsi="Symbol" w:hint="default"/>
      </w:rPr>
    </w:lvl>
    <w:lvl w:ilvl="1">
      <w:start w:val="1"/>
      <w:numFmt w:val="decimal"/>
      <w:lvlText w:val="%1.%2."/>
      <w:lvlJc w:val="left"/>
      <w:pPr>
        <w:ind w:left="851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835704"/>
    <w:multiLevelType w:val="multilevel"/>
    <w:tmpl w:val="D1485C9A"/>
    <w:lvl w:ilvl="0">
      <w:start w:val="1"/>
      <w:numFmt w:val="bullet"/>
      <w:lvlText w:val="-"/>
      <w:lvlJc w:val="left"/>
      <w:pPr>
        <w:ind w:left="1068" w:hanging="360"/>
      </w:pPr>
      <w:rPr>
        <w:rFonts w:ascii="Calibri" w:hAnsi="Calibri" w:hint="default"/>
      </w:rPr>
    </w:lvl>
    <w:lvl w:ilvl="1">
      <w:start w:val="1"/>
      <w:numFmt w:val="decimal"/>
      <w:lvlText w:val="%1.%2."/>
      <w:lvlJc w:val="left"/>
      <w:pPr>
        <w:ind w:left="9219"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55A308C7"/>
    <w:multiLevelType w:val="hybridMultilevel"/>
    <w:tmpl w:val="F294A5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10935423">
    <w:abstractNumId w:val="3"/>
  </w:num>
  <w:num w:numId="2" w16cid:durableId="1551652620">
    <w:abstractNumId w:val="3"/>
  </w:num>
  <w:num w:numId="3" w16cid:durableId="862551338">
    <w:abstractNumId w:val="3"/>
  </w:num>
  <w:num w:numId="4" w16cid:durableId="517358171">
    <w:abstractNumId w:val="3"/>
  </w:num>
  <w:num w:numId="5" w16cid:durableId="2122064228">
    <w:abstractNumId w:val="3"/>
  </w:num>
  <w:num w:numId="6" w16cid:durableId="949316059">
    <w:abstractNumId w:val="3"/>
  </w:num>
  <w:num w:numId="7" w16cid:durableId="908343516">
    <w:abstractNumId w:val="3"/>
  </w:num>
  <w:num w:numId="8" w16cid:durableId="667753111">
    <w:abstractNumId w:val="3"/>
  </w:num>
  <w:num w:numId="9" w16cid:durableId="1933780122">
    <w:abstractNumId w:val="3"/>
  </w:num>
  <w:num w:numId="10" w16cid:durableId="1839728291">
    <w:abstractNumId w:val="3"/>
  </w:num>
  <w:num w:numId="11" w16cid:durableId="2129157136">
    <w:abstractNumId w:val="3"/>
  </w:num>
  <w:num w:numId="12" w16cid:durableId="1124084079">
    <w:abstractNumId w:val="3"/>
  </w:num>
  <w:num w:numId="13" w16cid:durableId="1732996701">
    <w:abstractNumId w:val="4"/>
  </w:num>
  <w:num w:numId="14" w16cid:durableId="1559828285">
    <w:abstractNumId w:val="2"/>
  </w:num>
  <w:num w:numId="15" w16cid:durableId="2138258421">
    <w:abstractNumId w:val="0"/>
  </w:num>
  <w:num w:numId="16" w16cid:durableId="62456333">
    <w:abstractNumId w:val="5"/>
  </w:num>
  <w:num w:numId="17" w16cid:durableId="1848983253">
    <w:abstractNumId w:val="1"/>
  </w:num>
  <w:num w:numId="18" w16cid:durableId="273557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17"/>
    <w:rsid w:val="00015357"/>
    <w:rsid w:val="00016508"/>
    <w:rsid w:val="00017910"/>
    <w:rsid w:val="000379F8"/>
    <w:rsid w:val="00046356"/>
    <w:rsid w:val="00053E3B"/>
    <w:rsid w:val="00066578"/>
    <w:rsid w:val="00067EF2"/>
    <w:rsid w:val="00073110"/>
    <w:rsid w:val="00075FE5"/>
    <w:rsid w:val="000868B1"/>
    <w:rsid w:val="000876F1"/>
    <w:rsid w:val="000A3E67"/>
    <w:rsid w:val="000B49BB"/>
    <w:rsid w:val="000B7F0D"/>
    <w:rsid w:val="000C0685"/>
    <w:rsid w:val="000C072D"/>
    <w:rsid w:val="000D4456"/>
    <w:rsid w:val="000F6E44"/>
    <w:rsid w:val="00154D1C"/>
    <w:rsid w:val="001653A5"/>
    <w:rsid w:val="001831A8"/>
    <w:rsid w:val="00185C1F"/>
    <w:rsid w:val="00186090"/>
    <w:rsid w:val="00191460"/>
    <w:rsid w:val="001A766B"/>
    <w:rsid w:val="001C1AF6"/>
    <w:rsid w:val="001D33F3"/>
    <w:rsid w:val="001E3E38"/>
    <w:rsid w:val="001F4433"/>
    <w:rsid w:val="001F65F0"/>
    <w:rsid w:val="001F72B1"/>
    <w:rsid w:val="002106C4"/>
    <w:rsid w:val="00232F87"/>
    <w:rsid w:val="00234406"/>
    <w:rsid w:val="00263E3C"/>
    <w:rsid w:val="002A6D77"/>
    <w:rsid w:val="002B744F"/>
    <w:rsid w:val="002E22E9"/>
    <w:rsid w:val="002F05AA"/>
    <w:rsid w:val="00317389"/>
    <w:rsid w:val="00327084"/>
    <w:rsid w:val="00353E09"/>
    <w:rsid w:val="00360243"/>
    <w:rsid w:val="00360A3B"/>
    <w:rsid w:val="00371FAD"/>
    <w:rsid w:val="00395808"/>
    <w:rsid w:val="00397F70"/>
    <w:rsid w:val="003E168A"/>
    <w:rsid w:val="003E2715"/>
    <w:rsid w:val="003E67FB"/>
    <w:rsid w:val="003F118E"/>
    <w:rsid w:val="004145DD"/>
    <w:rsid w:val="00421BEE"/>
    <w:rsid w:val="00423C56"/>
    <w:rsid w:val="00444646"/>
    <w:rsid w:val="00467B9A"/>
    <w:rsid w:val="00474C87"/>
    <w:rsid w:val="004764A0"/>
    <w:rsid w:val="004772FD"/>
    <w:rsid w:val="00477EBB"/>
    <w:rsid w:val="004845F4"/>
    <w:rsid w:val="00486F65"/>
    <w:rsid w:val="00487661"/>
    <w:rsid w:val="00492A52"/>
    <w:rsid w:val="004A6FDA"/>
    <w:rsid w:val="004C7E1E"/>
    <w:rsid w:val="004D1A88"/>
    <w:rsid w:val="004E11B5"/>
    <w:rsid w:val="00515843"/>
    <w:rsid w:val="0054235C"/>
    <w:rsid w:val="00552933"/>
    <w:rsid w:val="00585C9A"/>
    <w:rsid w:val="00594ADF"/>
    <w:rsid w:val="005B002F"/>
    <w:rsid w:val="005B2D7F"/>
    <w:rsid w:val="005B3C95"/>
    <w:rsid w:val="005D2AF3"/>
    <w:rsid w:val="00601661"/>
    <w:rsid w:val="00607B05"/>
    <w:rsid w:val="00616D6F"/>
    <w:rsid w:val="00617FAC"/>
    <w:rsid w:val="00631E4D"/>
    <w:rsid w:val="006557F7"/>
    <w:rsid w:val="00656620"/>
    <w:rsid w:val="00662936"/>
    <w:rsid w:val="006769C5"/>
    <w:rsid w:val="006A0170"/>
    <w:rsid w:val="006A2215"/>
    <w:rsid w:val="006A3CB8"/>
    <w:rsid w:val="006C29A9"/>
    <w:rsid w:val="006C6F34"/>
    <w:rsid w:val="006D02E3"/>
    <w:rsid w:val="006F724C"/>
    <w:rsid w:val="007003D5"/>
    <w:rsid w:val="007007BB"/>
    <w:rsid w:val="00730437"/>
    <w:rsid w:val="00732BC5"/>
    <w:rsid w:val="00747F9E"/>
    <w:rsid w:val="007621F6"/>
    <w:rsid w:val="00762412"/>
    <w:rsid w:val="00763691"/>
    <w:rsid w:val="00771820"/>
    <w:rsid w:val="007741CA"/>
    <w:rsid w:val="007A01E3"/>
    <w:rsid w:val="007A78DF"/>
    <w:rsid w:val="007B5453"/>
    <w:rsid w:val="007F0D31"/>
    <w:rsid w:val="0081419C"/>
    <w:rsid w:val="00824676"/>
    <w:rsid w:val="00830997"/>
    <w:rsid w:val="00830AFF"/>
    <w:rsid w:val="008310BC"/>
    <w:rsid w:val="00845264"/>
    <w:rsid w:val="00853D92"/>
    <w:rsid w:val="00866383"/>
    <w:rsid w:val="00883FDB"/>
    <w:rsid w:val="00884A11"/>
    <w:rsid w:val="00892D55"/>
    <w:rsid w:val="00894584"/>
    <w:rsid w:val="008A0945"/>
    <w:rsid w:val="008A0AE9"/>
    <w:rsid w:val="008A2D86"/>
    <w:rsid w:val="008C47B9"/>
    <w:rsid w:val="008C5F62"/>
    <w:rsid w:val="008C7C9C"/>
    <w:rsid w:val="008D08C2"/>
    <w:rsid w:val="008D204C"/>
    <w:rsid w:val="008D30C0"/>
    <w:rsid w:val="008D408A"/>
    <w:rsid w:val="008D6039"/>
    <w:rsid w:val="008E364E"/>
    <w:rsid w:val="00907742"/>
    <w:rsid w:val="00914058"/>
    <w:rsid w:val="00914E0E"/>
    <w:rsid w:val="009202A5"/>
    <w:rsid w:val="009250AE"/>
    <w:rsid w:val="00934E1E"/>
    <w:rsid w:val="009350D8"/>
    <w:rsid w:val="009372FD"/>
    <w:rsid w:val="00943551"/>
    <w:rsid w:val="00954BFE"/>
    <w:rsid w:val="00961499"/>
    <w:rsid w:val="00963136"/>
    <w:rsid w:val="00972FAC"/>
    <w:rsid w:val="009764CF"/>
    <w:rsid w:val="00983DEF"/>
    <w:rsid w:val="00986D46"/>
    <w:rsid w:val="009B4956"/>
    <w:rsid w:val="009C5196"/>
    <w:rsid w:val="009D1330"/>
    <w:rsid w:val="009D1AE2"/>
    <w:rsid w:val="00A027DC"/>
    <w:rsid w:val="00A0381F"/>
    <w:rsid w:val="00A04BC4"/>
    <w:rsid w:val="00A15B0D"/>
    <w:rsid w:val="00A16228"/>
    <w:rsid w:val="00A40917"/>
    <w:rsid w:val="00A541D1"/>
    <w:rsid w:val="00A56086"/>
    <w:rsid w:val="00A56CF5"/>
    <w:rsid w:val="00A64720"/>
    <w:rsid w:val="00A75850"/>
    <w:rsid w:val="00A76D80"/>
    <w:rsid w:val="00A824B5"/>
    <w:rsid w:val="00AA023A"/>
    <w:rsid w:val="00AB202E"/>
    <w:rsid w:val="00AB3466"/>
    <w:rsid w:val="00AC7FC0"/>
    <w:rsid w:val="00B27989"/>
    <w:rsid w:val="00B37E8B"/>
    <w:rsid w:val="00B57DD9"/>
    <w:rsid w:val="00B604C3"/>
    <w:rsid w:val="00B8116B"/>
    <w:rsid w:val="00B875E9"/>
    <w:rsid w:val="00BA015B"/>
    <w:rsid w:val="00BD57D9"/>
    <w:rsid w:val="00BE6A53"/>
    <w:rsid w:val="00C06017"/>
    <w:rsid w:val="00C10DB6"/>
    <w:rsid w:val="00C2207C"/>
    <w:rsid w:val="00C3186E"/>
    <w:rsid w:val="00C45909"/>
    <w:rsid w:val="00C46071"/>
    <w:rsid w:val="00C4667D"/>
    <w:rsid w:val="00C55FDA"/>
    <w:rsid w:val="00C84B66"/>
    <w:rsid w:val="00C96793"/>
    <w:rsid w:val="00CA5701"/>
    <w:rsid w:val="00CB2459"/>
    <w:rsid w:val="00CC4EAD"/>
    <w:rsid w:val="00CE0A0E"/>
    <w:rsid w:val="00CE0D1C"/>
    <w:rsid w:val="00CE59A9"/>
    <w:rsid w:val="00CE59FB"/>
    <w:rsid w:val="00CE5BA4"/>
    <w:rsid w:val="00CF17AF"/>
    <w:rsid w:val="00CF6AEB"/>
    <w:rsid w:val="00D16E1A"/>
    <w:rsid w:val="00D31817"/>
    <w:rsid w:val="00D5588D"/>
    <w:rsid w:val="00D65E68"/>
    <w:rsid w:val="00D66A24"/>
    <w:rsid w:val="00D72702"/>
    <w:rsid w:val="00D9134D"/>
    <w:rsid w:val="00D9767F"/>
    <w:rsid w:val="00DC0E20"/>
    <w:rsid w:val="00DC7AFD"/>
    <w:rsid w:val="00DE26A4"/>
    <w:rsid w:val="00DE7CD2"/>
    <w:rsid w:val="00E00351"/>
    <w:rsid w:val="00E02E0A"/>
    <w:rsid w:val="00E0758B"/>
    <w:rsid w:val="00E15FFF"/>
    <w:rsid w:val="00E235D3"/>
    <w:rsid w:val="00E35E70"/>
    <w:rsid w:val="00E41C2C"/>
    <w:rsid w:val="00E51B21"/>
    <w:rsid w:val="00E541C4"/>
    <w:rsid w:val="00E803B3"/>
    <w:rsid w:val="00ED56E2"/>
    <w:rsid w:val="00EE4979"/>
    <w:rsid w:val="00EE5624"/>
    <w:rsid w:val="00EF15A5"/>
    <w:rsid w:val="00F036F7"/>
    <w:rsid w:val="00F11F2A"/>
    <w:rsid w:val="00F15753"/>
    <w:rsid w:val="00F23CB2"/>
    <w:rsid w:val="00F248E8"/>
    <w:rsid w:val="00F2588B"/>
    <w:rsid w:val="00F5369F"/>
    <w:rsid w:val="00F703E5"/>
    <w:rsid w:val="00F85B49"/>
    <w:rsid w:val="00F92913"/>
    <w:rsid w:val="00FB51BC"/>
    <w:rsid w:val="00FC0678"/>
    <w:rsid w:val="00FC6938"/>
    <w:rsid w:val="00FE4F64"/>
    <w:rsid w:val="00FF32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CBC4"/>
  <w15:chartTrackingRefBased/>
  <w15:docId w15:val="{A468CBC8-F560-460C-9F52-AD444A25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C5196"/>
    <w:pPr>
      <w:spacing w:after="0" w:line="360" w:lineRule="auto"/>
      <w:ind w:firstLine="340"/>
      <w:jc w:val="both"/>
    </w:pPr>
    <w:rPr>
      <w:rFonts w:ascii="Times New Roman" w:hAnsi="Times New Roman"/>
    </w:rPr>
  </w:style>
  <w:style w:type="paragraph" w:styleId="Cmsor1">
    <w:name w:val="heading 1"/>
    <w:basedOn w:val="Norml"/>
    <w:next w:val="Norml"/>
    <w:link w:val="Cmsor1Char"/>
    <w:uiPriority w:val="9"/>
    <w:qFormat/>
    <w:rsid w:val="007A78DF"/>
    <w:pPr>
      <w:keepNext/>
      <w:keepLines/>
      <w:spacing w:before="360" w:after="80"/>
      <w:outlineLvl w:val="0"/>
    </w:pPr>
    <w:rPr>
      <w:rFonts w:eastAsiaTheme="majorEastAsia" w:cstheme="majorBidi"/>
      <w:b/>
      <w:sz w:val="32"/>
      <w:szCs w:val="40"/>
    </w:rPr>
  </w:style>
  <w:style w:type="paragraph" w:styleId="Cmsor2">
    <w:name w:val="heading 2"/>
    <w:basedOn w:val="Norml"/>
    <w:next w:val="Norml"/>
    <w:link w:val="Cmsor2Char"/>
    <w:uiPriority w:val="9"/>
    <w:unhideWhenUsed/>
    <w:qFormat/>
    <w:rsid w:val="007A78DF"/>
    <w:pPr>
      <w:keepNext/>
      <w:keepLines/>
      <w:ind w:firstLine="0"/>
      <w:outlineLvl w:val="1"/>
    </w:pPr>
    <w:rPr>
      <w:rFonts w:eastAsiaTheme="majorEastAsia" w:cstheme="majorBidi"/>
      <w:b/>
      <w:sz w:val="28"/>
      <w:szCs w:val="32"/>
    </w:rPr>
  </w:style>
  <w:style w:type="paragraph" w:styleId="Cmsor3">
    <w:name w:val="heading 3"/>
    <w:basedOn w:val="Norml"/>
    <w:next w:val="Norml"/>
    <w:link w:val="Cmsor3Char"/>
    <w:uiPriority w:val="9"/>
    <w:semiHidden/>
    <w:unhideWhenUsed/>
    <w:qFormat/>
    <w:rsid w:val="00A409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409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A40917"/>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A40917"/>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A40917"/>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A40917"/>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A40917"/>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A78DF"/>
    <w:rPr>
      <w:rFonts w:ascii="Times New Roman" w:eastAsiaTheme="majorEastAsia" w:hAnsi="Times New Roman" w:cstheme="majorBidi"/>
      <w:b/>
      <w:sz w:val="32"/>
      <w:szCs w:val="40"/>
    </w:rPr>
  </w:style>
  <w:style w:type="character" w:customStyle="1" w:styleId="Cmsor2Char">
    <w:name w:val="Címsor 2 Char"/>
    <w:basedOn w:val="Bekezdsalapbettpusa"/>
    <w:link w:val="Cmsor2"/>
    <w:uiPriority w:val="9"/>
    <w:rsid w:val="007A78DF"/>
    <w:rPr>
      <w:rFonts w:ascii="Times New Roman" w:eastAsiaTheme="majorEastAsia" w:hAnsi="Times New Roman" w:cstheme="majorBidi"/>
      <w:b/>
      <w:sz w:val="28"/>
      <w:szCs w:val="32"/>
    </w:rPr>
  </w:style>
  <w:style w:type="paragraph" w:customStyle="1" w:styleId="EconomicaTitle1">
    <w:name w:val="Economica_Title1"/>
    <w:basedOn w:val="Norml"/>
    <w:next w:val="Norml"/>
    <w:autoRedefine/>
    <w:qFormat/>
    <w:rsid w:val="00E15FFF"/>
    <w:pPr>
      <w:keepNext/>
      <w:tabs>
        <w:tab w:val="left" w:pos="340"/>
      </w:tabs>
      <w:spacing w:before="240" w:line="240" w:lineRule="auto"/>
      <w:ind w:firstLine="0"/>
      <w:jc w:val="center"/>
      <w:outlineLvl w:val="0"/>
    </w:pPr>
    <w:rPr>
      <w:rFonts w:cs="Times New Roman"/>
      <w:b/>
      <w:kern w:val="0"/>
      <w:sz w:val="32"/>
      <w:szCs w:val="32"/>
      <w:lang w:val="en-US"/>
      <w14:ligatures w14:val="none"/>
    </w:rPr>
  </w:style>
  <w:style w:type="paragraph" w:customStyle="1" w:styleId="EconomicaTitle2">
    <w:name w:val="Economica_Title2"/>
    <w:basedOn w:val="Norml"/>
    <w:next w:val="Norml"/>
    <w:autoRedefine/>
    <w:qFormat/>
    <w:rsid w:val="00D72702"/>
    <w:pPr>
      <w:keepNext/>
      <w:spacing w:before="180" w:line="240" w:lineRule="auto"/>
      <w:ind w:firstLine="0"/>
      <w:jc w:val="left"/>
      <w:outlineLvl w:val="1"/>
    </w:pPr>
    <w:rPr>
      <w:rFonts w:ascii="Georgia" w:hAnsi="Georgia"/>
      <w:b/>
      <w:kern w:val="0"/>
      <w:sz w:val="22"/>
      <w:szCs w:val="22"/>
      <w:lang w:val="en-US"/>
      <w14:ligatures w14:val="none"/>
    </w:rPr>
  </w:style>
  <w:style w:type="paragraph" w:customStyle="1" w:styleId="EconomicaTitle3">
    <w:name w:val="Economica_Title3"/>
    <w:basedOn w:val="Norml"/>
    <w:next w:val="Norml"/>
    <w:autoRedefine/>
    <w:qFormat/>
    <w:rsid w:val="00D72702"/>
    <w:pPr>
      <w:spacing w:before="120" w:line="240" w:lineRule="auto"/>
      <w:ind w:firstLine="0"/>
      <w:jc w:val="left"/>
    </w:pPr>
    <w:rPr>
      <w:rFonts w:ascii="Georgia" w:hAnsi="Georgia"/>
      <w:b/>
      <w:i/>
      <w:kern w:val="0"/>
      <w:sz w:val="22"/>
      <w:szCs w:val="22"/>
      <w:lang w:val="en-US"/>
      <w14:ligatures w14:val="none"/>
    </w:rPr>
  </w:style>
  <w:style w:type="paragraph" w:customStyle="1" w:styleId="fejezet1">
    <w:name w:val="fejezet 1"/>
    <w:basedOn w:val="Norml"/>
    <w:next w:val="Norml"/>
    <w:autoRedefine/>
    <w:qFormat/>
    <w:rsid w:val="003E67FB"/>
    <w:pPr>
      <w:keepNext/>
      <w:numPr>
        <w:numId w:val="12"/>
      </w:numPr>
      <w:tabs>
        <w:tab w:val="left" w:pos="340"/>
      </w:tabs>
      <w:spacing w:before="120" w:after="120" w:line="240" w:lineRule="auto"/>
      <w:ind w:left="357" w:hanging="357"/>
      <w:jc w:val="left"/>
      <w:outlineLvl w:val="0"/>
    </w:pPr>
    <w:rPr>
      <w:b/>
      <w:kern w:val="0"/>
      <w:sz w:val="28"/>
      <w:szCs w:val="22"/>
      <w:lang w:val="en-US"/>
      <w14:ligatures w14:val="none"/>
    </w:rPr>
  </w:style>
  <w:style w:type="paragraph" w:customStyle="1" w:styleId="fejezet2">
    <w:name w:val="fejezet 2"/>
    <w:basedOn w:val="Norml"/>
    <w:next w:val="Norml"/>
    <w:autoRedefine/>
    <w:qFormat/>
    <w:rsid w:val="00327084"/>
    <w:pPr>
      <w:keepNext/>
      <w:numPr>
        <w:ilvl w:val="1"/>
        <w:numId w:val="12"/>
      </w:numPr>
      <w:ind w:left="431" w:hanging="431"/>
      <w:jc w:val="left"/>
      <w:outlineLvl w:val="1"/>
    </w:pPr>
    <w:rPr>
      <w:rFonts w:cs="Times New Roman"/>
      <w:b/>
      <w:kern w:val="0"/>
      <w:szCs w:val="22"/>
      <w14:ligatures w14:val="none"/>
    </w:rPr>
  </w:style>
  <w:style w:type="paragraph" w:customStyle="1" w:styleId="fejezet3">
    <w:name w:val="fejezet 3"/>
    <w:basedOn w:val="Norml"/>
    <w:next w:val="Norml"/>
    <w:autoRedefine/>
    <w:qFormat/>
    <w:rsid w:val="00515843"/>
    <w:pPr>
      <w:numPr>
        <w:ilvl w:val="2"/>
        <w:numId w:val="12"/>
      </w:numPr>
      <w:jc w:val="left"/>
    </w:pPr>
    <w:rPr>
      <w:b/>
      <w:kern w:val="0"/>
      <w:sz w:val="28"/>
      <w:szCs w:val="22"/>
      <w:lang w:val="en-US"/>
      <w14:ligatures w14:val="none"/>
    </w:rPr>
  </w:style>
  <w:style w:type="character" w:customStyle="1" w:styleId="Cmsor3Char">
    <w:name w:val="Címsor 3 Char"/>
    <w:basedOn w:val="Bekezdsalapbettpusa"/>
    <w:link w:val="Cmsor3"/>
    <w:uiPriority w:val="9"/>
    <w:semiHidden/>
    <w:rsid w:val="00A4091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4091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4091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4091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4091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4091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40917"/>
    <w:rPr>
      <w:rFonts w:eastAsiaTheme="majorEastAsia" w:cstheme="majorBidi"/>
      <w:color w:val="272727" w:themeColor="text1" w:themeTint="D8"/>
    </w:rPr>
  </w:style>
  <w:style w:type="paragraph" w:styleId="Cm">
    <w:name w:val="Title"/>
    <w:basedOn w:val="Norml"/>
    <w:next w:val="Norml"/>
    <w:link w:val="CmChar"/>
    <w:uiPriority w:val="10"/>
    <w:qFormat/>
    <w:rsid w:val="00A40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4091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40917"/>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A4091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40917"/>
    <w:pPr>
      <w:spacing w:before="160"/>
      <w:jc w:val="center"/>
    </w:pPr>
    <w:rPr>
      <w:i/>
      <w:iCs/>
      <w:color w:val="404040" w:themeColor="text1" w:themeTint="BF"/>
    </w:rPr>
  </w:style>
  <w:style w:type="character" w:customStyle="1" w:styleId="IdzetChar">
    <w:name w:val="Idézet Char"/>
    <w:basedOn w:val="Bekezdsalapbettpusa"/>
    <w:link w:val="Idzet"/>
    <w:uiPriority w:val="29"/>
    <w:rsid w:val="00A40917"/>
    <w:rPr>
      <w:rFonts w:ascii="Times New Roman" w:hAnsi="Times New Roman"/>
      <w:i/>
      <w:iCs/>
      <w:color w:val="404040" w:themeColor="text1" w:themeTint="BF"/>
    </w:rPr>
  </w:style>
  <w:style w:type="paragraph" w:styleId="Listaszerbekezds">
    <w:name w:val="List Paragraph"/>
    <w:basedOn w:val="Norml"/>
    <w:uiPriority w:val="34"/>
    <w:qFormat/>
    <w:rsid w:val="00A40917"/>
    <w:pPr>
      <w:ind w:left="720"/>
      <w:contextualSpacing/>
    </w:pPr>
  </w:style>
  <w:style w:type="character" w:styleId="Erskiemels">
    <w:name w:val="Intense Emphasis"/>
    <w:basedOn w:val="Bekezdsalapbettpusa"/>
    <w:uiPriority w:val="21"/>
    <w:qFormat/>
    <w:rsid w:val="00A40917"/>
    <w:rPr>
      <w:i/>
      <w:iCs/>
      <w:color w:val="0F4761" w:themeColor="accent1" w:themeShade="BF"/>
    </w:rPr>
  </w:style>
  <w:style w:type="paragraph" w:styleId="Kiemeltidzet">
    <w:name w:val="Intense Quote"/>
    <w:basedOn w:val="Norml"/>
    <w:next w:val="Norml"/>
    <w:link w:val="KiemeltidzetChar"/>
    <w:uiPriority w:val="30"/>
    <w:qFormat/>
    <w:rsid w:val="00A40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40917"/>
    <w:rPr>
      <w:rFonts w:ascii="Times New Roman" w:hAnsi="Times New Roman"/>
      <w:i/>
      <w:iCs/>
      <w:color w:val="0F4761" w:themeColor="accent1" w:themeShade="BF"/>
    </w:rPr>
  </w:style>
  <w:style w:type="character" w:styleId="Ershivatkozs">
    <w:name w:val="Intense Reference"/>
    <w:basedOn w:val="Bekezdsalapbettpusa"/>
    <w:uiPriority w:val="32"/>
    <w:qFormat/>
    <w:rsid w:val="00A40917"/>
    <w:rPr>
      <w:b/>
      <w:bCs/>
      <w:smallCaps/>
      <w:color w:val="0F4761" w:themeColor="accent1" w:themeShade="BF"/>
      <w:spacing w:val="5"/>
    </w:rPr>
  </w:style>
  <w:style w:type="character" w:styleId="Hiperhivatkozs">
    <w:name w:val="Hyperlink"/>
    <w:basedOn w:val="Bekezdsalapbettpusa"/>
    <w:uiPriority w:val="99"/>
    <w:unhideWhenUsed/>
    <w:rsid w:val="00A40917"/>
    <w:rPr>
      <w:color w:val="467886" w:themeColor="hyperlink"/>
      <w:u w:val="single"/>
    </w:rPr>
  </w:style>
  <w:style w:type="character" w:styleId="Feloldatlanmegemlts">
    <w:name w:val="Unresolved Mention"/>
    <w:basedOn w:val="Bekezdsalapbettpusa"/>
    <w:uiPriority w:val="99"/>
    <w:semiHidden/>
    <w:unhideWhenUsed/>
    <w:rsid w:val="00A40917"/>
    <w:rPr>
      <w:color w:val="605E5C"/>
      <w:shd w:val="clear" w:color="auto" w:fill="E1DFDD"/>
    </w:rPr>
  </w:style>
  <w:style w:type="paragraph" w:styleId="TJ1">
    <w:name w:val="toc 1"/>
    <w:basedOn w:val="Norml"/>
    <w:next w:val="Norml"/>
    <w:autoRedefine/>
    <w:uiPriority w:val="39"/>
    <w:unhideWhenUsed/>
    <w:rsid w:val="001F65F0"/>
    <w:pPr>
      <w:spacing w:before="120"/>
      <w:jc w:val="left"/>
    </w:pPr>
    <w:rPr>
      <w:rFonts w:asciiTheme="minorHAnsi" w:hAnsiTheme="minorHAnsi"/>
      <w:b/>
      <w:bCs/>
      <w:caps/>
      <w:sz w:val="20"/>
      <w:szCs w:val="20"/>
    </w:rPr>
  </w:style>
  <w:style w:type="paragraph" w:styleId="TJ2">
    <w:name w:val="toc 2"/>
    <w:basedOn w:val="Norml"/>
    <w:next w:val="Norml"/>
    <w:autoRedefine/>
    <w:uiPriority w:val="39"/>
    <w:unhideWhenUsed/>
    <w:rsid w:val="001F65F0"/>
    <w:pPr>
      <w:ind w:left="240"/>
      <w:jc w:val="left"/>
    </w:pPr>
    <w:rPr>
      <w:rFonts w:asciiTheme="minorHAnsi" w:hAnsiTheme="minorHAnsi"/>
      <w:smallCaps/>
      <w:sz w:val="20"/>
      <w:szCs w:val="20"/>
    </w:rPr>
  </w:style>
  <w:style w:type="paragraph" w:styleId="TJ3">
    <w:name w:val="toc 3"/>
    <w:basedOn w:val="Norml"/>
    <w:next w:val="Norml"/>
    <w:autoRedefine/>
    <w:uiPriority w:val="39"/>
    <w:unhideWhenUsed/>
    <w:rsid w:val="001F65F0"/>
    <w:pPr>
      <w:ind w:left="480"/>
      <w:jc w:val="left"/>
    </w:pPr>
    <w:rPr>
      <w:rFonts w:asciiTheme="minorHAnsi" w:hAnsiTheme="minorHAnsi"/>
      <w:i/>
      <w:iCs/>
      <w:sz w:val="20"/>
      <w:szCs w:val="20"/>
    </w:rPr>
  </w:style>
  <w:style w:type="paragraph" w:styleId="TJ4">
    <w:name w:val="toc 4"/>
    <w:basedOn w:val="Norml"/>
    <w:next w:val="Norml"/>
    <w:autoRedefine/>
    <w:uiPriority w:val="39"/>
    <w:unhideWhenUsed/>
    <w:rsid w:val="001F65F0"/>
    <w:pPr>
      <w:ind w:left="720"/>
      <w:jc w:val="left"/>
    </w:pPr>
    <w:rPr>
      <w:rFonts w:asciiTheme="minorHAnsi" w:hAnsiTheme="minorHAnsi"/>
      <w:sz w:val="18"/>
      <w:szCs w:val="18"/>
    </w:rPr>
  </w:style>
  <w:style w:type="paragraph" w:styleId="TJ5">
    <w:name w:val="toc 5"/>
    <w:basedOn w:val="Norml"/>
    <w:next w:val="Norml"/>
    <w:autoRedefine/>
    <w:uiPriority w:val="39"/>
    <w:unhideWhenUsed/>
    <w:rsid w:val="001F65F0"/>
    <w:pPr>
      <w:ind w:left="960"/>
      <w:jc w:val="left"/>
    </w:pPr>
    <w:rPr>
      <w:rFonts w:asciiTheme="minorHAnsi" w:hAnsiTheme="minorHAnsi"/>
      <w:sz w:val="18"/>
      <w:szCs w:val="18"/>
    </w:rPr>
  </w:style>
  <w:style w:type="paragraph" w:styleId="TJ6">
    <w:name w:val="toc 6"/>
    <w:basedOn w:val="Norml"/>
    <w:next w:val="Norml"/>
    <w:autoRedefine/>
    <w:uiPriority w:val="39"/>
    <w:unhideWhenUsed/>
    <w:rsid w:val="001F65F0"/>
    <w:pPr>
      <w:ind w:left="1200"/>
      <w:jc w:val="left"/>
    </w:pPr>
    <w:rPr>
      <w:rFonts w:asciiTheme="minorHAnsi" w:hAnsiTheme="minorHAnsi"/>
      <w:sz w:val="18"/>
      <w:szCs w:val="18"/>
    </w:rPr>
  </w:style>
  <w:style w:type="paragraph" w:styleId="TJ7">
    <w:name w:val="toc 7"/>
    <w:basedOn w:val="Norml"/>
    <w:next w:val="Norml"/>
    <w:autoRedefine/>
    <w:uiPriority w:val="39"/>
    <w:unhideWhenUsed/>
    <w:rsid w:val="001F65F0"/>
    <w:pPr>
      <w:ind w:left="1440"/>
      <w:jc w:val="left"/>
    </w:pPr>
    <w:rPr>
      <w:rFonts w:asciiTheme="minorHAnsi" w:hAnsiTheme="minorHAnsi"/>
      <w:sz w:val="18"/>
      <w:szCs w:val="18"/>
    </w:rPr>
  </w:style>
  <w:style w:type="paragraph" w:styleId="TJ8">
    <w:name w:val="toc 8"/>
    <w:basedOn w:val="Norml"/>
    <w:next w:val="Norml"/>
    <w:autoRedefine/>
    <w:uiPriority w:val="39"/>
    <w:unhideWhenUsed/>
    <w:rsid w:val="001F65F0"/>
    <w:pPr>
      <w:ind w:left="1680"/>
      <w:jc w:val="left"/>
    </w:pPr>
    <w:rPr>
      <w:rFonts w:asciiTheme="minorHAnsi" w:hAnsiTheme="minorHAnsi"/>
      <w:sz w:val="18"/>
      <w:szCs w:val="18"/>
    </w:rPr>
  </w:style>
  <w:style w:type="paragraph" w:styleId="TJ9">
    <w:name w:val="toc 9"/>
    <w:basedOn w:val="Norml"/>
    <w:next w:val="Norml"/>
    <w:autoRedefine/>
    <w:uiPriority w:val="39"/>
    <w:unhideWhenUsed/>
    <w:rsid w:val="001F65F0"/>
    <w:pPr>
      <w:ind w:left="1920"/>
      <w:jc w:val="left"/>
    </w:pPr>
    <w:rPr>
      <w:rFonts w:asciiTheme="minorHAnsi" w:hAnsiTheme="minorHAnsi"/>
      <w:sz w:val="18"/>
      <w:szCs w:val="18"/>
    </w:rPr>
  </w:style>
  <w:style w:type="character" w:styleId="Mrltotthiperhivatkozs">
    <w:name w:val="FollowedHyperlink"/>
    <w:basedOn w:val="Bekezdsalapbettpusa"/>
    <w:uiPriority w:val="99"/>
    <w:semiHidden/>
    <w:unhideWhenUsed/>
    <w:rsid w:val="00A64720"/>
    <w:rPr>
      <w:color w:val="96607D" w:themeColor="followedHyperlink"/>
      <w:u w:val="single"/>
    </w:rPr>
  </w:style>
  <w:style w:type="paragraph" w:styleId="lfej">
    <w:name w:val="header"/>
    <w:basedOn w:val="Norml"/>
    <w:link w:val="lfejChar"/>
    <w:uiPriority w:val="99"/>
    <w:unhideWhenUsed/>
    <w:rsid w:val="00360A3B"/>
    <w:pPr>
      <w:tabs>
        <w:tab w:val="center" w:pos="4513"/>
        <w:tab w:val="right" w:pos="9026"/>
      </w:tabs>
      <w:spacing w:line="240" w:lineRule="auto"/>
    </w:pPr>
  </w:style>
  <w:style w:type="character" w:customStyle="1" w:styleId="lfejChar">
    <w:name w:val="Élőfej Char"/>
    <w:basedOn w:val="Bekezdsalapbettpusa"/>
    <w:link w:val="lfej"/>
    <w:uiPriority w:val="99"/>
    <w:rsid w:val="00360A3B"/>
    <w:rPr>
      <w:rFonts w:ascii="Times New Roman" w:hAnsi="Times New Roman"/>
    </w:rPr>
  </w:style>
  <w:style w:type="paragraph" w:styleId="llb">
    <w:name w:val="footer"/>
    <w:basedOn w:val="Norml"/>
    <w:link w:val="llbChar"/>
    <w:uiPriority w:val="99"/>
    <w:unhideWhenUsed/>
    <w:rsid w:val="00360A3B"/>
    <w:pPr>
      <w:tabs>
        <w:tab w:val="center" w:pos="4513"/>
        <w:tab w:val="right" w:pos="9026"/>
      </w:tabs>
      <w:spacing w:line="240" w:lineRule="auto"/>
    </w:pPr>
  </w:style>
  <w:style w:type="character" w:customStyle="1" w:styleId="llbChar">
    <w:name w:val="Élőláb Char"/>
    <w:basedOn w:val="Bekezdsalapbettpusa"/>
    <w:link w:val="llb"/>
    <w:uiPriority w:val="99"/>
    <w:rsid w:val="00360A3B"/>
    <w:rPr>
      <w:rFonts w:ascii="Times New Roman" w:hAnsi="Times New Roman"/>
    </w:rPr>
  </w:style>
  <w:style w:type="paragraph" w:styleId="Kpalrs">
    <w:name w:val="caption"/>
    <w:basedOn w:val="Norml"/>
    <w:next w:val="Norml"/>
    <w:uiPriority w:val="35"/>
    <w:unhideWhenUsed/>
    <w:qFormat/>
    <w:rsid w:val="003E67FB"/>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61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6/science.284.5411.107" TargetMode="External"/><Relationship Id="rId18" Type="http://schemas.openxmlformats.org/officeDocument/2006/relationships/hyperlink" Target="https://doi.org/10.1086/261816" TargetMode="External"/><Relationship Id="rId26" Type="http://schemas.openxmlformats.org/officeDocument/2006/relationships/hyperlink" Target="https://www.ecb.europa.eu/press/economic-bulletin/html/eb202408.en.html" TargetMode="External"/><Relationship Id="rId39" Type="http://schemas.openxmlformats.org/officeDocument/2006/relationships/hyperlink" Target="https://miau.my-x.hu/miau/311/KAYSER%C4%B0%20KONGRE%20K%C4%B0TABI%20SON.pdf" TargetMode="External"/><Relationship Id="rId21" Type="http://schemas.openxmlformats.org/officeDocument/2006/relationships/hyperlink" Target="https://doi.org/10.1038/nature23474" TargetMode="External"/><Relationship Id="rId34" Type="http://schemas.openxmlformats.org/officeDocument/2006/relationships/hyperlink" Target="https://doi.org/10.1177/2976703224123754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ony-atkinson.com/researchpapers/Atkinson_and_Morelli_-_Inequality_and_Banking_Crises_-_A_First_Look.pdf" TargetMode="External"/><Relationship Id="rId20" Type="http://schemas.openxmlformats.org/officeDocument/2006/relationships/hyperlink" Target="https://www.ecb.europa.eu/pub/pdf/sintra/ecb.forumcentbankpub2025_Benassy-Quere_paper.en.pdf" TargetMode="External"/><Relationship Id="rId29" Type="http://schemas.openxmlformats.org/officeDocument/2006/relationships/hyperlink" Target="https://doi.org/10.1002/cplx.202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073/pnas.1608242113" TargetMode="External"/><Relationship Id="rId32" Type="http://schemas.openxmlformats.org/officeDocument/2006/relationships/hyperlink" Target="https://www.econstor.eu/bitstream/10419/169223/1/663.pdf" TargetMode="External"/><Relationship Id="rId37" Type="http://schemas.openxmlformats.org/officeDocument/2006/relationships/hyperlink" Target="https://doi.org/10.1038/nature08227"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hartbookofeconomicinequality.com/" TargetMode="External"/><Relationship Id="rId23" Type="http://schemas.openxmlformats.org/officeDocument/2006/relationships/hyperlink" Target="https://doi.org/10.1017/CBO9780511997716" TargetMode="External"/><Relationship Id="rId28" Type="http://schemas.openxmlformats.org/officeDocument/2006/relationships/hyperlink" Target="https://www.europarl.europa.eu/RegData/etudes/IDAN/2022/733996/IPOL_IDA(2022)733996_EN.pdf" TargetMode="External"/><Relationship Id="rId36" Type="http://schemas.openxmlformats.org/officeDocument/2006/relationships/hyperlink" Target="https://doi.org/10.1515/9781400833276" TargetMode="External"/><Relationship Id="rId10" Type="http://schemas.openxmlformats.org/officeDocument/2006/relationships/chart" Target="charts/chart1.xml"/><Relationship Id="rId19" Type="http://schemas.openxmlformats.org/officeDocument/2006/relationships/hyperlink" Target="https://arxiv.org/abs/2406.00862" TargetMode="External"/><Relationship Id="rId31" Type="http://schemas.openxmlformats.org/officeDocument/2006/relationships/hyperlink" Target="https://doi.org/10.1016/j.physd.2011.02.012" TargetMode="External"/><Relationship Id="rId4" Type="http://schemas.openxmlformats.org/officeDocument/2006/relationships/settings" Target="settings.xml"/><Relationship Id="rId9" Type="http://schemas.openxmlformats.org/officeDocument/2006/relationships/hyperlink" Target="mailto:danielvaradi140@gmail.com" TargetMode="External"/><Relationship Id="rId14" Type="http://schemas.openxmlformats.org/officeDocument/2006/relationships/hyperlink" Target="https://doi.org/10.1038/s42254-020-00273-3" TargetMode="External"/><Relationship Id="rId22" Type="http://schemas.openxmlformats.org/officeDocument/2006/relationships/hyperlink" Target="https://www.bundesbank.de/resource/blob/916768/2a6826a2c846af281357d00c3fbbe5df/mL/2023-09-geldpolitik-data.pdf" TargetMode="External"/><Relationship Id="rId27" Type="http://schemas.openxmlformats.org/officeDocument/2006/relationships/hyperlink" Target="https://www.ecb.europa.eu/stats/macroeconomic_and_sectoral/hicp/html/index.en.html" TargetMode="External"/><Relationship Id="rId30" Type="http://schemas.openxmlformats.org/officeDocument/2006/relationships/hyperlink" Target="https://www.imf.org/-/media/Files/Publications/WP/2023/English/wpiea2023030-print-pdf.ashx" TargetMode="External"/><Relationship Id="rId35" Type="http://schemas.openxmlformats.org/officeDocument/2006/relationships/hyperlink" Target="https://www.qm-ware.com/use-cases/automotive-meets-quantum/" TargetMode="External"/><Relationship Id="rId8" Type="http://schemas.openxmlformats.org/officeDocument/2006/relationships/hyperlink" Target="mailto:danielvaradi140@gmail.com" TargetMode="External"/><Relationship Id="rId3" Type="http://schemas.openxmlformats.org/officeDocument/2006/relationships/styles" Target="styles.xml"/><Relationship Id="rId12" Type="http://schemas.openxmlformats.org/officeDocument/2006/relationships/hyperlink" Target="https://www.ecb.europa.eu/pub/pdf/scpwps/ecb.wp2170.en.pdf" TargetMode="External"/><Relationship Id="rId17" Type="http://schemas.openxmlformats.org/officeDocument/2006/relationships/hyperlink" Target="https://doi.org/10.2307/2534639" TargetMode="External"/><Relationship Id="rId25" Type="http://schemas.openxmlformats.org/officeDocument/2006/relationships/hyperlink" Target="https://www.ecb.europa.eu/mopo/strategy/ecb.mopo_strategy_statement.en.html" TargetMode="External"/><Relationship Id="rId33" Type="http://schemas.openxmlformats.org/officeDocument/2006/relationships/hyperlink" Target="http://www.worldeconomicsassociation.org/files/journals/economicthought/WEA-ET-7-2-Orrell.pdf" TargetMode="External"/><Relationship Id="rId38" Type="http://schemas.openxmlformats.org/officeDocument/2006/relationships/hyperlink" Target="https://www.suerf.org/publications/suerf-policy-notes-and-briefs/beyond-averages-heterogeneous-effects-of-monetary-policy-in-the-euro-are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ndi\AppData\Local\Temp\b326a283-ce42-41c0-9cd1-1f1435d82362_EU%20homogenit&#225;s.zip.EU%20homogenit&#225;s.zip\OAM%20homogeneit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strRef>
              <c:f>'Éves homogenitás'!$A$29</c:f>
              <c:strCache>
                <c:ptCount val="1"/>
                <c:pt idx="0">
                  <c:v>Éves homogenitás index átlaga</c:v>
                </c:pt>
              </c:strCache>
            </c:strRef>
          </c:tx>
          <c:spPr>
            <a:ln w="101600" cap="rnd">
              <a:gradFill>
                <a:gsLst>
                  <a:gs pos="0">
                    <a:srgbClr val="FF0000"/>
                  </a:gs>
                  <a:gs pos="51000">
                    <a:srgbClr val="FFFF00"/>
                  </a:gs>
                  <a:gs pos="100000">
                    <a:srgbClr val="00B050"/>
                  </a:gs>
                </a:gsLst>
                <a:lin ang="5400000" scaled="1"/>
              </a:gradFill>
              <a:round/>
            </a:ln>
            <a:effectLst/>
          </c:spPr>
          <c:marker>
            <c:symbol val="none"/>
          </c:marker>
          <c:cat>
            <c:numRef>
              <c:f>'Éves homogenitás'!$B$28:$AB$28</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'Éves homogenitás'!$B$29:$AB$29</c:f>
              <c:numCache>
                <c:formatCode>General</c:formatCode>
                <c:ptCount val="27"/>
                <c:pt idx="0">
                  <c:v>41.418181818181836</c:v>
                </c:pt>
                <c:pt idx="1">
                  <c:v>29.963636363636375</c:v>
                </c:pt>
                <c:pt idx="2">
                  <c:v>30.804545454545465</c:v>
                </c:pt>
                <c:pt idx="3">
                  <c:v>26.304545454545462</c:v>
                </c:pt>
                <c:pt idx="4">
                  <c:v>33.690909090909095</c:v>
                </c:pt>
                <c:pt idx="5">
                  <c:v>34.463636363636368</c:v>
                </c:pt>
                <c:pt idx="6">
                  <c:v>32.190909090909095</c:v>
                </c:pt>
                <c:pt idx="7">
                  <c:v>31.759090909090915</c:v>
                </c:pt>
                <c:pt idx="8">
                  <c:v>14.145454545454548</c:v>
                </c:pt>
                <c:pt idx="9">
                  <c:v>9.6227272727272677</c:v>
                </c:pt>
                <c:pt idx="10">
                  <c:v>3.8499999999999956</c:v>
                </c:pt>
                <c:pt idx="11">
                  <c:v>-0.67272727272727806</c:v>
                </c:pt>
                <c:pt idx="12">
                  <c:v>-8.1045454545454589</c:v>
                </c:pt>
                <c:pt idx="13">
                  <c:v>-21.399999999999991</c:v>
                </c:pt>
                <c:pt idx="14">
                  <c:v>-6.6045454545454598</c:v>
                </c:pt>
                <c:pt idx="15">
                  <c:v>-7.0818181818181865</c:v>
                </c:pt>
                <c:pt idx="16">
                  <c:v>-6.9681818181818223</c:v>
                </c:pt>
                <c:pt idx="17">
                  <c:v>-5.7181818181818223</c:v>
                </c:pt>
                <c:pt idx="18">
                  <c:v>-7.1272727272727314</c:v>
                </c:pt>
                <c:pt idx="19">
                  <c:v>-16.331818181818186</c:v>
                </c:pt>
                <c:pt idx="20">
                  <c:v>-23.036363636363628</c:v>
                </c:pt>
                <c:pt idx="21">
                  <c:v>-28.831818181818168</c:v>
                </c:pt>
                <c:pt idx="22">
                  <c:v>-29.377272727272711</c:v>
                </c:pt>
                <c:pt idx="23">
                  <c:v>-33.195454545454531</c:v>
                </c:pt>
                <c:pt idx="24">
                  <c:v>-40.218181818181797</c:v>
                </c:pt>
                <c:pt idx="25">
                  <c:v>-41.786363636363618</c:v>
                </c:pt>
                <c:pt idx="26">
                  <c:v>-12.195454545454544</c:v>
                </c:pt>
              </c:numCache>
            </c:numRef>
          </c:val>
          <c:smooth val="0"/>
          <c:extLst>
            <c:ext xmlns:c16="http://schemas.microsoft.com/office/drawing/2014/chart" uri="{C3380CC4-5D6E-409C-BE32-E72D297353CC}">
              <c16:uniqueId val="{00000000-07FB-4737-AAAE-C9BDF900332B}"/>
            </c:ext>
          </c:extLst>
        </c:ser>
        <c:dLbls>
          <c:showLegendKey val="0"/>
          <c:showVal val="0"/>
          <c:showCatName val="0"/>
          <c:showSerName val="0"/>
          <c:showPercent val="0"/>
          <c:showBubbleSize val="0"/>
        </c:dLbls>
        <c:smooth val="0"/>
        <c:axId val="1188361071"/>
        <c:axId val="951674879"/>
      </c:lineChart>
      <c:catAx>
        <c:axId val="1188361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951674879"/>
        <c:crosses val="autoZero"/>
        <c:auto val="1"/>
        <c:lblAlgn val="ctr"/>
        <c:lblOffset val="100"/>
        <c:noMultiLvlLbl val="0"/>
      </c:catAx>
      <c:valAx>
        <c:axId val="951674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188361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ZT — Név szerinti rendezés" Version="2003"/>
</file>

<file path=customXml/itemProps1.xml><?xml version="1.0" encoding="utf-8"?>
<ds:datastoreItem xmlns:ds="http://schemas.openxmlformats.org/officeDocument/2006/customXml" ds:itemID="{42197C33-E717-4AD9-BF83-309307B7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5993</Words>
  <Characters>45429</Characters>
  <Application>Microsoft Office Word</Application>
  <DocSecurity>0</DocSecurity>
  <Lines>721</Lines>
  <Paragraphs>199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Varadi Daniel</dc:creator>
  <cp:keywords/>
  <dc:description/>
  <cp:lastModifiedBy>Varadi Daniel</cp:lastModifiedBy>
  <cp:revision>46</cp:revision>
  <dcterms:created xsi:type="dcterms:W3CDTF">2025-10-19T10:57:00Z</dcterms:created>
  <dcterms:modified xsi:type="dcterms:W3CDTF">2025-12-05T08:02:00Z</dcterms:modified>
</cp:coreProperties>
</file>