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A2B60" w14:textId="035E5EBB" w:rsidR="003B71A8" w:rsidRPr="003B71A8" w:rsidRDefault="003B71A8" w:rsidP="003B71A8">
      <w:pPr>
        <w:rPr>
          <w:lang w:val="en-GB"/>
        </w:rPr>
      </w:pPr>
      <w:r w:rsidRPr="003B71A8">
        <w:rPr>
          <w:lang w:val="en-GB"/>
        </w:rPr>
        <w:fldChar w:fldCharType="begin"/>
      </w:r>
      <w:r>
        <w:rPr>
          <w:lang w:val="en-GB"/>
        </w:rPr>
        <w:instrText>HYPERLINK "https://www.iksadinstitute.org/"</w:instrText>
      </w:r>
      <w:r w:rsidRPr="003B71A8">
        <w:rPr>
          <w:lang w:val="en-GB"/>
        </w:rPr>
      </w:r>
      <w:r w:rsidRPr="003B71A8">
        <w:rPr>
          <w:lang w:val="en-GB"/>
        </w:rPr>
        <w:fldChar w:fldCharType="separate"/>
      </w:r>
      <w:r>
        <w:rPr>
          <w:rStyle w:val="Hyperlink"/>
          <w:lang w:val="en-GB"/>
        </w:rPr>
        <w:t>https://www.iksadinstitute.org/</w:t>
      </w:r>
      <w:r w:rsidRPr="003B71A8">
        <w:fldChar w:fldCharType="end"/>
      </w:r>
    </w:p>
    <w:p w14:paraId="567EB979" w14:textId="6A22F0A7" w:rsidR="003B71A8" w:rsidRDefault="003B71A8" w:rsidP="003B71A8">
      <w:pPr>
        <w:rPr>
          <w:lang w:val="en-GB"/>
        </w:rPr>
      </w:pPr>
      <w:r w:rsidRPr="003B71A8">
        <w:rPr>
          <w:lang w:val="en-GB"/>
        </w:rPr>
        <w:t xml:space="preserve">International </w:t>
      </w:r>
      <w:r>
        <w:rPr>
          <w:lang w:val="en-GB"/>
        </w:rPr>
        <w:t xml:space="preserve">Asian Congress on Contemporary Sciences - XI </w:t>
      </w:r>
      <w:r w:rsidRPr="003B71A8">
        <w:rPr>
          <w:lang w:val="en-GB"/>
        </w:rPr>
        <w:t xml:space="preserve">/ </w:t>
      </w:r>
      <w:r>
        <w:rPr>
          <w:lang w:val="en-GB"/>
        </w:rPr>
        <w:t>November 06</w:t>
      </w:r>
      <w:r w:rsidRPr="003B71A8">
        <w:rPr>
          <w:lang w:val="en-GB"/>
        </w:rPr>
        <w:t>-</w:t>
      </w:r>
      <w:r>
        <w:rPr>
          <w:lang w:val="en-GB"/>
        </w:rPr>
        <w:t>08</w:t>
      </w:r>
      <w:r w:rsidRPr="003B71A8">
        <w:rPr>
          <w:lang w:val="en-GB"/>
        </w:rPr>
        <w:t xml:space="preserve">, 2025 / Selçuk University, </w:t>
      </w:r>
      <w:proofErr w:type="spellStart"/>
      <w:r>
        <w:rPr>
          <w:lang w:val="en-GB"/>
        </w:rPr>
        <w:t>Karapinar</w:t>
      </w:r>
      <w:proofErr w:type="spellEnd"/>
      <w:r>
        <w:rPr>
          <w:lang w:val="en-GB"/>
        </w:rPr>
        <w:t xml:space="preserve">, Konya </w:t>
      </w:r>
      <w:r w:rsidRPr="003B71A8">
        <w:rPr>
          <w:lang w:val="en-GB"/>
        </w:rPr>
        <w:t>T</w:t>
      </w:r>
      <w:r>
        <w:rPr>
          <w:lang w:val="en-GB"/>
        </w:rPr>
        <w:t>ü</w:t>
      </w:r>
      <w:r w:rsidRPr="003B71A8">
        <w:rPr>
          <w:lang w:val="en-GB"/>
        </w:rPr>
        <w:t>rkiye</w:t>
      </w:r>
    </w:p>
    <w:p w14:paraId="7CA3E63E" w14:textId="39D6732A" w:rsidR="003B71A8" w:rsidRPr="003B71A8" w:rsidRDefault="003B71A8" w:rsidP="003B71A8">
      <w:pPr>
        <w:rPr>
          <w:lang w:val="en-GB"/>
        </w:rPr>
      </w:pPr>
      <w:r>
        <w:rPr>
          <w:lang w:val="en-GB"/>
        </w:rPr>
        <w:t xml:space="preserve">Organised by </w:t>
      </w:r>
      <w:r w:rsidRPr="003B71A8">
        <w:rPr>
          <w:lang w:val="en-GB"/>
        </w:rPr>
        <w:t>Selçuk University</w:t>
      </w:r>
      <w:r>
        <w:rPr>
          <w:lang w:val="en-GB"/>
        </w:rPr>
        <w:t xml:space="preserve"> </w:t>
      </w:r>
      <w:proofErr w:type="spellStart"/>
      <w:r>
        <w:rPr>
          <w:lang w:val="en-GB"/>
        </w:rPr>
        <w:t>Karapinar</w:t>
      </w:r>
      <w:proofErr w:type="spellEnd"/>
      <w:r>
        <w:rPr>
          <w:lang w:val="en-GB"/>
        </w:rPr>
        <w:t xml:space="preserve"> </w:t>
      </w:r>
      <w:proofErr w:type="spellStart"/>
      <w:r>
        <w:rPr>
          <w:lang w:val="en-GB"/>
        </w:rPr>
        <w:t>Aydoganlar</w:t>
      </w:r>
      <w:proofErr w:type="spellEnd"/>
      <w:r>
        <w:rPr>
          <w:lang w:val="en-GB"/>
        </w:rPr>
        <w:t xml:space="preserve"> Vocational School &amp; IKSAD </w:t>
      </w:r>
      <w:proofErr w:type="spellStart"/>
      <w:r>
        <w:rPr>
          <w:lang w:val="en-GB"/>
        </w:rPr>
        <w:t>Insitute</w:t>
      </w:r>
      <w:proofErr w:type="spellEnd"/>
    </w:p>
    <w:p w14:paraId="4580D01A" w14:textId="77777777" w:rsidR="003B71A8" w:rsidRDefault="003B71A8" w:rsidP="003B71A8">
      <w:pPr>
        <w:rPr>
          <w:b/>
          <w:bCs/>
          <w:i/>
          <w:iCs/>
          <w:lang w:val="en-GB"/>
        </w:rPr>
      </w:pPr>
      <w:r w:rsidRPr="003B71A8">
        <w:rPr>
          <w:b/>
          <w:bCs/>
          <w:i/>
          <w:iCs/>
          <w:lang w:val="en-GB"/>
        </w:rPr>
        <w:t>Can all companies be equally committed to circular economy?</w:t>
      </w:r>
    </w:p>
    <w:p w14:paraId="0C7B2287" w14:textId="0A5C696A" w:rsidR="003B71A8" w:rsidRPr="003B71A8" w:rsidRDefault="003B71A8" w:rsidP="003B71A8">
      <w:pPr>
        <w:rPr>
          <w:lang w:val="en-US"/>
        </w:rPr>
      </w:pPr>
      <w:r w:rsidRPr="003B71A8">
        <w:rPr>
          <w:lang w:val="en-US"/>
        </w:rPr>
        <w:t>László Or</w:t>
      </w:r>
      <w:r>
        <w:rPr>
          <w:lang w:val="en-US"/>
        </w:rPr>
        <w:t>osz</w:t>
      </w:r>
      <w:r w:rsidRPr="003B71A8">
        <w:rPr>
          <w:lang w:val="en-US"/>
        </w:rPr>
        <w:t xml:space="preserve"> (</w:t>
      </w:r>
      <w:hyperlink r:id="rId5" w:history="1">
        <w:r w:rsidRPr="003B71A8">
          <w:rPr>
            <w:rStyle w:val="Hyperlink"/>
            <w:lang w:val="en-US"/>
          </w:rPr>
          <w:t>https://orcid.org/0009-0000-2683-8213</w:t>
        </w:r>
      </w:hyperlink>
      <w:r w:rsidRPr="003B71A8">
        <w:rPr>
          <w:lang w:val="en-US"/>
        </w:rPr>
        <w:t xml:space="preserve">) </w:t>
      </w:r>
    </w:p>
    <w:p w14:paraId="6AE85182" w14:textId="77777777" w:rsidR="003B71A8" w:rsidRPr="003B71A8" w:rsidRDefault="003B71A8" w:rsidP="003B71A8">
      <w:r w:rsidRPr="003B71A8">
        <w:t xml:space="preserve">László </w:t>
      </w:r>
      <w:proofErr w:type="spellStart"/>
      <w:r w:rsidRPr="003B71A8">
        <w:t>Pitlik</w:t>
      </w:r>
      <w:proofErr w:type="spellEnd"/>
      <w:r w:rsidRPr="003B71A8">
        <w:t xml:space="preserve"> (</w:t>
      </w:r>
      <w:hyperlink r:id="rId6" w:history="1">
        <w:r w:rsidRPr="003B71A8">
          <w:rPr>
            <w:rStyle w:val="Hyperlink"/>
          </w:rPr>
          <w:t>https://orcid.org/0000-0001-5819-0319</w:t>
        </w:r>
      </w:hyperlink>
      <w:r w:rsidRPr="003B71A8">
        <w:t xml:space="preserve">) </w:t>
      </w:r>
    </w:p>
    <w:p w14:paraId="6D8BD877" w14:textId="785C3D3D" w:rsidR="003B71A8" w:rsidRPr="003B71A8" w:rsidRDefault="003B71A8" w:rsidP="003B71A8">
      <w:proofErr w:type="spellStart"/>
      <w:r w:rsidRPr="003B71A8">
        <w:t>e-Mails</w:t>
      </w:r>
      <w:proofErr w:type="spellEnd"/>
      <w:r w:rsidRPr="003B71A8">
        <w:t xml:space="preserve">: </w:t>
      </w:r>
      <w:hyperlink r:id="rId7" w:history="1">
        <w:r>
          <w:rPr>
            <w:rStyle w:val="Hyperlink"/>
          </w:rPr>
          <w:t>laszlo.orosz86@gmail.com</w:t>
        </w:r>
      </w:hyperlink>
      <w:r w:rsidRPr="003B71A8">
        <w:t xml:space="preserve">, </w:t>
      </w:r>
      <w:hyperlink r:id="rId8" w:history="1">
        <w:r w:rsidRPr="003B71A8">
          <w:rPr>
            <w:rStyle w:val="Hyperlink"/>
          </w:rPr>
          <w:t>pitlik@my-x.hu</w:t>
        </w:r>
      </w:hyperlink>
      <w:r w:rsidRPr="003B71A8">
        <w:t xml:space="preserve"> </w:t>
      </w:r>
    </w:p>
    <w:p w14:paraId="28FC5155" w14:textId="6492AC0C" w:rsidR="003B71A8" w:rsidRPr="003B71A8" w:rsidRDefault="003B71A8" w:rsidP="003B71A8">
      <w:pPr>
        <w:rPr>
          <w:lang w:val="en-GB"/>
        </w:rPr>
      </w:pPr>
      <w:proofErr w:type="spellStart"/>
      <w:r w:rsidRPr="003B71A8">
        <w:rPr>
          <w:lang w:val="en-GB"/>
        </w:rPr>
        <w:t>Kodolányi</w:t>
      </w:r>
      <w:proofErr w:type="spellEnd"/>
      <w:r w:rsidRPr="003B71A8">
        <w:rPr>
          <w:lang w:val="en-GB"/>
        </w:rPr>
        <w:t xml:space="preserve"> János University</w:t>
      </w:r>
    </w:p>
    <w:p w14:paraId="72C8E658" w14:textId="52D1A9BC" w:rsidR="003B71A8" w:rsidRPr="003B71A8" w:rsidRDefault="003B71A8" w:rsidP="003B71A8">
      <w:pPr>
        <w:rPr>
          <w:lang w:val="en-GB"/>
        </w:rPr>
      </w:pPr>
      <w:r w:rsidRPr="003B71A8">
        <w:rPr>
          <w:lang w:val="en-GB"/>
        </w:rPr>
        <w:t>Keywords: Circular economy, automation, AI, objectivity, anti-discrimination, optimization, COCO model, sustainability</w:t>
      </w:r>
    </w:p>
    <w:p w14:paraId="2039AE37" w14:textId="07F9D07B" w:rsidR="003B71A8" w:rsidRPr="003B71A8" w:rsidRDefault="003B71A8" w:rsidP="003B71A8">
      <w:pPr>
        <w:rPr>
          <w:lang w:val="en-GB"/>
        </w:rPr>
      </w:pPr>
      <w:r w:rsidRPr="003B71A8">
        <w:rPr>
          <w:lang w:val="en-GB"/>
        </w:rPr>
        <mc:AlternateContent>
          <mc:Choice Requires="wps">
            <w:drawing>
              <wp:anchor distT="0" distB="0" distL="114300" distR="114300" simplePos="0" relativeHeight="251659264" behindDoc="0" locked="0" layoutInCell="1" allowOverlap="1" wp14:anchorId="00D6152C" wp14:editId="2A57DE59">
                <wp:simplePos x="0" y="0"/>
                <wp:positionH relativeFrom="margin">
                  <wp:align>center</wp:align>
                </wp:positionH>
                <wp:positionV relativeFrom="paragraph">
                  <wp:posOffset>180340</wp:posOffset>
                </wp:positionV>
                <wp:extent cx="6911340" cy="7620"/>
                <wp:effectExtent l="0" t="0" r="22860" b="30480"/>
                <wp:wrapNone/>
                <wp:docPr id="127960419" name="Straight Connector 14"/>
                <wp:cNvGraphicFramePr/>
                <a:graphic xmlns:a="http://schemas.openxmlformats.org/drawingml/2006/main">
                  <a:graphicData uri="http://schemas.microsoft.com/office/word/2010/wordprocessingShape">
                    <wps:wsp>
                      <wps:cNvCnPr/>
                      <wps:spPr>
                        <a:xfrm flipV="1">
                          <a:off x="0" y="0"/>
                          <a:ext cx="691134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2DEBAEF" id="Straight Connector 14" o:spid="_x0000_s1026" style="position:absolute;flip:y;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4.2pt" to="544.2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" strokecolor="black [3200]" strokeweight=".5pt">
                <v:stroke joinstyle="miter"/>
                <w10:wrap anchorx="margin"/>
              </v:line>
            </w:pict>
          </mc:Fallback>
        </mc:AlternateContent>
      </w:r>
    </w:p>
    <w:p w14:paraId="5FDD2B5A" w14:textId="77777777" w:rsidR="003B71A8" w:rsidRPr="003B71A8" w:rsidRDefault="003B71A8" w:rsidP="004978EC">
      <w:pPr>
        <w:spacing w:after="0"/>
        <w:rPr>
          <w:b/>
          <w:bCs/>
          <w:lang w:val="en-GB"/>
        </w:rPr>
      </w:pPr>
      <w:r w:rsidRPr="003B71A8">
        <w:rPr>
          <w:b/>
          <w:bCs/>
          <w:i/>
          <w:iCs/>
          <w:lang w:val="en-GB"/>
        </w:rPr>
        <w:t>Introduction</w:t>
      </w:r>
    </w:p>
    <w:p w14:paraId="3F33F5C2" w14:textId="50C226F5" w:rsidR="004978EC" w:rsidRDefault="004978EC" w:rsidP="004978EC">
      <w:pPr>
        <w:spacing w:after="0"/>
        <w:rPr>
          <w:lang w:val="en-GB"/>
        </w:rPr>
      </w:pPr>
      <w:r w:rsidRPr="004978EC">
        <w:rPr>
          <w:lang w:val="en-GB"/>
        </w:rPr>
        <w:t>Objective assessments are rarely made on the international stage</w:t>
      </w:r>
      <w:r>
        <w:rPr>
          <w:lang w:val="en-GB"/>
        </w:rPr>
        <w:t xml:space="preserve"> </w:t>
      </w:r>
      <w:r w:rsidRPr="004978EC">
        <w:rPr>
          <w:lang w:val="en-GB"/>
        </w:rPr>
        <w:t>/</w:t>
      </w:r>
      <w:r>
        <w:rPr>
          <w:lang w:val="en-GB"/>
        </w:rPr>
        <w:t xml:space="preserve"> </w:t>
      </w:r>
      <w:r w:rsidRPr="004978EC">
        <w:rPr>
          <w:lang w:val="en-GB"/>
        </w:rPr>
        <w:t>in international forums</w:t>
      </w:r>
      <w:r w:rsidR="003B71A8" w:rsidRPr="003B71A8">
        <w:rPr>
          <w:lang w:val="en-GB"/>
        </w:rPr>
        <w:t>.</w:t>
      </w:r>
    </w:p>
    <w:p w14:paraId="42D4FE73" w14:textId="5EF02E7A" w:rsidR="003B71A8" w:rsidRDefault="003B71A8" w:rsidP="004978EC">
      <w:pPr>
        <w:spacing w:after="0"/>
        <w:rPr>
          <w:lang w:val="en-GB"/>
        </w:rPr>
      </w:pPr>
      <w:r w:rsidRPr="003B71A8">
        <w:rPr>
          <w:lang w:val="en-GB"/>
        </w:rPr>
        <w:t>Prominent rating agencies such as Moody’s, Fitch Ratings or S&amp;P Global frequently produce inconsistent evaluations for the same company — even when based on similar datasets.</w:t>
      </w:r>
    </w:p>
    <w:p w14:paraId="0945EA8B" w14:textId="77777777" w:rsidR="004978EC" w:rsidRDefault="004978EC" w:rsidP="004978EC">
      <w:pPr>
        <w:spacing w:after="0"/>
        <w:rPr>
          <w:lang w:val="en-GB"/>
        </w:rPr>
      </w:pPr>
    </w:p>
    <w:p w14:paraId="3614C22D" w14:textId="77777777" w:rsidR="00B16606" w:rsidRDefault="00B16606" w:rsidP="004978EC">
      <w:pPr>
        <w:spacing w:after="0"/>
        <w:rPr>
          <w:lang w:val="en-GB"/>
        </w:rPr>
      </w:pPr>
      <w:r w:rsidRPr="00B16606">
        <w:rPr>
          <w:b/>
          <w:bCs/>
          <w:lang w:val="en-GB"/>
        </w:rPr>
        <w:t>Example 1: Tesla (2023)</w:t>
      </w:r>
      <w:r w:rsidRPr="00B16606">
        <w:rPr>
          <w:lang w:val="en-GB"/>
        </w:rPr>
        <w:t xml:space="preserve"> — S&amp;P Global Ratings assigned a BB+ speculative-grade rating, while Moody’s classified the same company as Baa3, i.e. investment grade.</w:t>
      </w:r>
    </w:p>
    <w:p w14:paraId="69DAA09B" w14:textId="77777777" w:rsidR="004978EC" w:rsidRPr="00B16606" w:rsidRDefault="004978EC" w:rsidP="004978EC">
      <w:pPr>
        <w:spacing w:after="0"/>
        <w:rPr>
          <w:lang w:val="en-GB"/>
        </w:rPr>
      </w:pPr>
    </w:p>
    <w:p w14:paraId="770CBEFB" w14:textId="5569F81C" w:rsidR="003B71A8" w:rsidRPr="00B16606" w:rsidRDefault="00B16606" w:rsidP="004978EC">
      <w:pPr>
        <w:spacing w:after="0"/>
        <w:rPr>
          <w:lang w:val="en-GB"/>
        </w:rPr>
      </w:pPr>
      <w:r w:rsidRPr="00B16606">
        <w:rPr>
          <w:b/>
          <w:bCs/>
          <w:lang w:val="en-GB"/>
        </w:rPr>
        <w:t xml:space="preserve">Example 2: Shell plc (2024) </w:t>
      </w:r>
      <w:r w:rsidRPr="00B16606">
        <w:rPr>
          <w:lang w:val="en-GB"/>
        </w:rPr>
        <w:t>— ESG (Environmental, Social, Governance) evaluations vary significantly: MSCI ESG Research LLC rated Shell “A”, while ISS assigned only “C+”.</w:t>
      </w:r>
    </w:p>
    <w:p w14:paraId="54386686" w14:textId="36DBEDAC" w:rsidR="00B16606" w:rsidRPr="00B16606" w:rsidRDefault="00B16606" w:rsidP="004978EC">
      <w:pPr>
        <w:spacing w:after="0"/>
        <w:rPr>
          <w:lang w:val="en-GB"/>
        </w:rPr>
      </w:pPr>
      <w:r w:rsidRPr="00B16606">
        <w:rPr>
          <w:lang w:val="en-GB"/>
        </w:rPr>
        <w:t>These inconsistencies underline a fundamental problem: global rating systems often depend on subjective criteria and context-dependent weighting.</w:t>
      </w:r>
    </w:p>
    <w:p w14:paraId="37CABD85" w14:textId="77777777" w:rsidR="004978EC" w:rsidRDefault="004978EC" w:rsidP="004978EC">
      <w:pPr>
        <w:spacing w:after="0"/>
        <w:rPr>
          <w:b/>
          <w:bCs/>
          <w:lang w:val="en-GB"/>
        </w:rPr>
      </w:pPr>
    </w:p>
    <w:p w14:paraId="00326B0E" w14:textId="035039EC" w:rsidR="003B71A8" w:rsidRDefault="00B16606" w:rsidP="004978EC">
      <w:pPr>
        <w:spacing w:after="0"/>
        <w:rPr>
          <w:lang w:val="en-GB"/>
        </w:rPr>
      </w:pPr>
      <w:r w:rsidRPr="00527237">
        <w:rPr>
          <w:b/>
          <w:bCs/>
          <w:lang w:val="en-GB"/>
        </w:rPr>
        <w:t>The goal of this study</w:t>
      </w:r>
      <w:r w:rsidRPr="00B16606">
        <w:rPr>
          <w:lang w:val="en-GB"/>
        </w:rPr>
        <w:t xml:space="preserve"> is therefore to introduce an objective, automatable value judgment methodology in the field of circular economy</w:t>
      </w:r>
      <w:r w:rsidR="00527237">
        <w:rPr>
          <w:lang w:val="en-GB"/>
        </w:rPr>
        <w:t>.</w:t>
      </w:r>
    </w:p>
    <w:p w14:paraId="71EF4069" w14:textId="77777777" w:rsidR="004978EC" w:rsidRDefault="004978EC" w:rsidP="004978EC">
      <w:pPr>
        <w:spacing w:after="0"/>
        <w:rPr>
          <w:lang w:val="en-GB"/>
        </w:rPr>
      </w:pPr>
    </w:p>
    <w:p w14:paraId="411E178D" w14:textId="3C38EC02" w:rsidR="00527237" w:rsidRPr="00527237" w:rsidRDefault="00527237" w:rsidP="004978EC">
      <w:pPr>
        <w:spacing w:after="0"/>
        <w:rPr>
          <w:lang w:val="en-GB"/>
        </w:rPr>
      </w:pPr>
      <w:r w:rsidRPr="00527237">
        <w:rPr>
          <w:lang w:val="en-GB"/>
        </w:rPr>
        <w:t>O</w:t>
      </w:r>
      <w:r w:rsidR="004978EC">
        <w:rPr>
          <w:lang w:val="en-GB"/>
        </w:rPr>
        <w:t>b</w:t>
      </w:r>
      <w:r w:rsidRPr="00527237">
        <w:rPr>
          <w:lang w:val="en-GB"/>
        </w:rPr>
        <w:t>jective and Methodological Framework</w:t>
      </w:r>
    </w:p>
    <w:p w14:paraId="3A7A59E2" w14:textId="77777777" w:rsidR="00527237" w:rsidRPr="00527237" w:rsidRDefault="00527237" w:rsidP="004978EC">
      <w:pPr>
        <w:spacing w:after="0"/>
        <w:rPr>
          <w:lang w:val="en-GB"/>
        </w:rPr>
      </w:pPr>
      <w:r w:rsidRPr="00527237">
        <w:rPr>
          <w:lang w:val="en-GB"/>
        </w:rPr>
        <w:t>The research introduces a transparent, repeatable evaluation system based on two technical foundations:</w:t>
      </w:r>
    </w:p>
    <w:p w14:paraId="02D70EE5" w14:textId="77777777" w:rsidR="00527237" w:rsidRPr="00527237" w:rsidRDefault="00527237" w:rsidP="004978EC">
      <w:pPr>
        <w:spacing w:after="0"/>
        <w:rPr>
          <w:lang w:val="en-GB"/>
        </w:rPr>
      </w:pPr>
    </w:p>
    <w:p w14:paraId="65316441" w14:textId="1E1B3D37" w:rsidR="00527237" w:rsidRPr="00527237" w:rsidRDefault="00527237" w:rsidP="004978EC">
      <w:pPr>
        <w:spacing w:after="0"/>
        <w:rPr>
          <w:lang w:val="en-GB"/>
        </w:rPr>
      </w:pPr>
      <w:r w:rsidRPr="00527237">
        <w:rPr>
          <w:lang w:val="en-GB"/>
        </w:rPr>
        <w:t>Data structure: Object–Attribute Matrix (OAM)</w:t>
      </w:r>
    </w:p>
    <w:p w14:paraId="32E00095" w14:textId="77777777" w:rsidR="00527237" w:rsidRPr="00527237" w:rsidRDefault="00527237" w:rsidP="004978EC">
      <w:pPr>
        <w:spacing w:after="0"/>
        <w:rPr>
          <w:lang w:val="en-GB"/>
        </w:rPr>
      </w:pPr>
      <w:r w:rsidRPr="00527237">
        <w:rPr>
          <w:lang w:val="en-GB"/>
        </w:rPr>
        <w:t>Bias elimination and optimization: COCO (Circular Object Comparison Optimization)</w:t>
      </w:r>
    </w:p>
    <w:p w14:paraId="56832E57" w14:textId="77777777" w:rsidR="00527237" w:rsidRDefault="00527237" w:rsidP="004978EC">
      <w:pPr>
        <w:spacing w:after="0"/>
        <w:rPr>
          <w:lang w:val="en-GB"/>
        </w:rPr>
      </w:pPr>
    </w:p>
    <w:p w14:paraId="4EAFC76B" w14:textId="77777777" w:rsidR="004978EC" w:rsidRDefault="004978EC" w:rsidP="004978EC">
      <w:pPr>
        <w:spacing w:after="0"/>
        <w:rPr>
          <w:lang w:val="en-US"/>
        </w:rPr>
      </w:pPr>
      <w:r w:rsidRPr="004978EC">
        <w:rPr>
          <w:lang w:val="en-US"/>
        </w:rPr>
        <w:t>Ten international companies (Siemens, BMW Group, Volkswagen Group, Bosch, Schneider Electric, Apple, Dell Technologies, IKEA, Philips, Unilever) (object) were available for demonstration purposes, with the following ten (X) attributes (ratios on a scale of 1 to 5. Best value: 5, worst value: 1):</w:t>
      </w:r>
    </w:p>
    <w:p w14:paraId="56091ADA" w14:textId="77777777" w:rsidR="004978EC" w:rsidRDefault="004978EC" w:rsidP="004978EC">
      <w:pPr>
        <w:spacing w:after="0"/>
        <w:rPr>
          <w:lang w:val="en-US"/>
        </w:rPr>
      </w:pPr>
    </w:p>
    <w:p w14:paraId="3D3A315F" w14:textId="45EFBB2D" w:rsidR="004978EC" w:rsidRPr="00E30C60" w:rsidRDefault="004978EC" w:rsidP="00E30C60">
      <w:pPr>
        <w:pStyle w:val="ListParagraph"/>
        <w:numPr>
          <w:ilvl w:val="0"/>
          <w:numId w:val="7"/>
        </w:numPr>
        <w:spacing w:after="0"/>
        <w:rPr>
          <w:lang w:val="en-US"/>
        </w:rPr>
      </w:pPr>
      <w:r w:rsidRPr="00E30C60">
        <w:rPr>
          <w:lang w:val="en-US"/>
        </w:rPr>
        <w:t>Material circularity ratio</w:t>
      </w:r>
    </w:p>
    <w:p w14:paraId="3C1724E0" w14:textId="27265A00" w:rsidR="004978EC" w:rsidRPr="00E30C60" w:rsidRDefault="004978EC" w:rsidP="00E30C60">
      <w:pPr>
        <w:pStyle w:val="ListParagraph"/>
        <w:numPr>
          <w:ilvl w:val="0"/>
          <w:numId w:val="7"/>
        </w:numPr>
        <w:spacing w:after="0"/>
        <w:rPr>
          <w:lang w:val="en-US"/>
        </w:rPr>
      </w:pPr>
      <w:r w:rsidRPr="00E30C60">
        <w:rPr>
          <w:lang w:val="en-US"/>
        </w:rPr>
        <w:t>Product recycling</w:t>
      </w:r>
    </w:p>
    <w:p w14:paraId="7A91F8A1" w14:textId="411B9B4A" w:rsidR="004978EC" w:rsidRPr="00E30C60" w:rsidRDefault="004978EC" w:rsidP="00E30C60">
      <w:pPr>
        <w:pStyle w:val="ListParagraph"/>
        <w:numPr>
          <w:ilvl w:val="0"/>
          <w:numId w:val="7"/>
        </w:numPr>
        <w:spacing w:after="0"/>
        <w:rPr>
          <w:lang w:val="en-US"/>
        </w:rPr>
      </w:pPr>
      <w:r w:rsidRPr="00E30C60">
        <w:rPr>
          <w:lang w:val="en-US"/>
        </w:rPr>
        <w:t>Waste recycling</w:t>
      </w:r>
    </w:p>
    <w:p w14:paraId="1D753FD6" w14:textId="45654578" w:rsidR="004978EC" w:rsidRPr="00E30C60" w:rsidRDefault="004978EC" w:rsidP="00E30C60">
      <w:pPr>
        <w:pStyle w:val="ListParagraph"/>
        <w:numPr>
          <w:ilvl w:val="0"/>
          <w:numId w:val="7"/>
        </w:numPr>
        <w:spacing w:after="0"/>
        <w:rPr>
          <w:lang w:val="en-US"/>
        </w:rPr>
      </w:pPr>
      <w:r w:rsidRPr="00E30C60">
        <w:rPr>
          <w:lang w:val="en-US"/>
        </w:rPr>
        <w:t>Digitalization maturity</w:t>
      </w:r>
    </w:p>
    <w:p w14:paraId="158A8B3E" w14:textId="649D67CC" w:rsidR="004978EC" w:rsidRPr="00E30C60" w:rsidRDefault="004978EC" w:rsidP="00E30C60">
      <w:pPr>
        <w:pStyle w:val="ListParagraph"/>
        <w:numPr>
          <w:ilvl w:val="0"/>
          <w:numId w:val="7"/>
        </w:numPr>
        <w:spacing w:after="0"/>
        <w:rPr>
          <w:lang w:val="en-US"/>
        </w:rPr>
      </w:pPr>
      <w:r w:rsidRPr="00E30C60">
        <w:rPr>
          <w:lang w:val="en-US"/>
        </w:rPr>
        <w:lastRenderedPageBreak/>
        <w:t>Data-driven decision-making</w:t>
      </w:r>
    </w:p>
    <w:p w14:paraId="37224685" w14:textId="17E51D3E" w:rsidR="004978EC" w:rsidRPr="00E30C60" w:rsidRDefault="004978EC" w:rsidP="00E30C60">
      <w:pPr>
        <w:pStyle w:val="ListParagraph"/>
        <w:numPr>
          <w:ilvl w:val="0"/>
          <w:numId w:val="7"/>
        </w:numPr>
        <w:spacing w:after="0"/>
        <w:rPr>
          <w:lang w:val="en-US"/>
        </w:rPr>
      </w:pPr>
      <w:r w:rsidRPr="00E30C60">
        <w:rPr>
          <w:lang w:val="en-US"/>
        </w:rPr>
        <w:t>Circular data integration</w:t>
      </w:r>
    </w:p>
    <w:p w14:paraId="54B32AB6" w14:textId="1109E05A" w:rsidR="004978EC" w:rsidRPr="00E30C60" w:rsidRDefault="004978EC" w:rsidP="00E30C60">
      <w:pPr>
        <w:pStyle w:val="ListParagraph"/>
        <w:numPr>
          <w:ilvl w:val="0"/>
          <w:numId w:val="7"/>
        </w:numPr>
        <w:spacing w:after="0"/>
        <w:rPr>
          <w:lang w:val="en-US"/>
        </w:rPr>
      </w:pPr>
      <w:r w:rsidRPr="00E30C60">
        <w:rPr>
          <w:lang w:val="en-US"/>
        </w:rPr>
        <w:t>Resource savings</w:t>
      </w:r>
    </w:p>
    <w:p w14:paraId="09C8DCD6" w14:textId="3FA038B2" w:rsidR="004978EC" w:rsidRPr="00E30C60" w:rsidRDefault="004978EC" w:rsidP="00E30C60">
      <w:pPr>
        <w:pStyle w:val="ListParagraph"/>
        <w:numPr>
          <w:ilvl w:val="0"/>
          <w:numId w:val="7"/>
        </w:numPr>
        <w:spacing w:after="0"/>
        <w:rPr>
          <w:lang w:val="en-US"/>
        </w:rPr>
      </w:pPr>
      <w:r w:rsidRPr="00E30C60">
        <w:rPr>
          <w:lang w:val="en-US"/>
        </w:rPr>
        <w:t>Secondary revenues</w:t>
      </w:r>
    </w:p>
    <w:p w14:paraId="5AA741A8" w14:textId="1D44B0CF" w:rsidR="004978EC" w:rsidRPr="00E30C60" w:rsidRDefault="004978EC" w:rsidP="00E30C60">
      <w:pPr>
        <w:pStyle w:val="ListParagraph"/>
        <w:numPr>
          <w:ilvl w:val="0"/>
          <w:numId w:val="7"/>
        </w:numPr>
        <w:spacing w:after="0"/>
        <w:rPr>
          <w:lang w:val="en-US"/>
        </w:rPr>
      </w:pPr>
      <w:r w:rsidRPr="00E30C60">
        <w:rPr>
          <w:lang w:val="en-US"/>
        </w:rPr>
        <w:t>ROI circular projects</w:t>
      </w:r>
    </w:p>
    <w:p w14:paraId="1C1D8EAA" w14:textId="0FD2C346" w:rsidR="004978EC" w:rsidRPr="00E30C60" w:rsidRDefault="004978EC" w:rsidP="00E30C60">
      <w:pPr>
        <w:pStyle w:val="ListParagraph"/>
        <w:numPr>
          <w:ilvl w:val="0"/>
          <w:numId w:val="7"/>
        </w:numPr>
        <w:spacing w:after="0"/>
        <w:rPr>
          <w:lang w:val="en-US"/>
        </w:rPr>
      </w:pPr>
      <w:r w:rsidRPr="00E30C60">
        <w:rPr>
          <w:lang w:val="en-US"/>
        </w:rPr>
        <w:t>Energy/cost efficiency</w:t>
      </w:r>
    </w:p>
    <w:p w14:paraId="7A815CE5" w14:textId="77777777" w:rsidR="004978EC" w:rsidRDefault="004978EC" w:rsidP="004978EC">
      <w:pPr>
        <w:spacing w:after="0"/>
        <w:rPr>
          <w:lang w:val="en-US"/>
        </w:rPr>
      </w:pPr>
    </w:p>
    <w:p w14:paraId="79F282D3" w14:textId="08542524" w:rsidR="004978EC" w:rsidRDefault="004978EC" w:rsidP="004978EC">
      <w:pPr>
        <w:spacing w:after="0"/>
        <w:rPr>
          <w:lang w:val="en-US"/>
        </w:rPr>
      </w:pPr>
      <w:r w:rsidRPr="004978EC">
        <w:rPr>
          <w:lang w:val="en-US"/>
        </w:rPr>
        <w:t>The following rule applies to all of these: the higher the raw value of X(</w:t>
      </w:r>
      <w:proofErr w:type="spellStart"/>
      <w:r w:rsidRPr="004978EC">
        <w:rPr>
          <w:lang w:val="en-US"/>
        </w:rPr>
        <w:t>i</w:t>
      </w:r>
      <w:proofErr w:type="spellEnd"/>
      <w:r w:rsidRPr="004978EC">
        <w:rPr>
          <w:lang w:val="en-US"/>
        </w:rPr>
        <w:t xml:space="preserve">), the more ideal the objective level of circular economy awareness </w:t>
      </w:r>
      <w:r w:rsidR="00E30C60" w:rsidRPr="004978EC">
        <w:rPr>
          <w:lang w:val="en-US"/>
        </w:rPr>
        <w:t>in each</w:t>
      </w:r>
      <w:r w:rsidRPr="004978EC">
        <w:rPr>
          <w:lang w:val="en-US"/>
        </w:rPr>
        <w:t xml:space="preserve"> company is compared to other companies for each attribute.</w:t>
      </w:r>
    </w:p>
    <w:p w14:paraId="7FC5535B" w14:textId="77777777" w:rsidR="00527237" w:rsidRPr="00527237" w:rsidRDefault="00527237" w:rsidP="004978EC">
      <w:pPr>
        <w:spacing w:after="0"/>
        <w:rPr>
          <w:lang w:val="en-GB"/>
        </w:rPr>
      </w:pPr>
    </w:p>
    <w:p w14:paraId="6CADC207" w14:textId="501BB5A8" w:rsidR="00527237" w:rsidRDefault="00527237" w:rsidP="004978EC">
      <w:pPr>
        <w:spacing w:after="0"/>
        <w:rPr>
          <w:lang w:val="en-GB"/>
        </w:rPr>
      </w:pPr>
      <w:r w:rsidRPr="00527237">
        <w:rPr>
          <w:lang w:val="en-GB"/>
        </w:rPr>
        <w:t>The fundamental goal was to examine whether AI-based automation can deliver equally objective evaluations for companies from different industries — without expert weighting or subjective adjustment.</w:t>
      </w:r>
    </w:p>
    <w:p w14:paraId="3C4BFEEF" w14:textId="77777777" w:rsidR="00E30C60" w:rsidRDefault="00E30C60" w:rsidP="004978EC">
      <w:pPr>
        <w:spacing w:after="0"/>
        <w:rPr>
          <w:lang w:val="en-GB"/>
        </w:rPr>
      </w:pPr>
    </w:p>
    <w:p w14:paraId="28A2628B" w14:textId="6407149C" w:rsidR="00E30C60" w:rsidRDefault="00E30C60" w:rsidP="004978EC">
      <w:pPr>
        <w:spacing w:after="0"/>
        <w:rPr>
          <w:lang w:val="en-GB"/>
        </w:rPr>
      </w:pPr>
      <w:r w:rsidRPr="00E30C60">
        <w:rPr>
          <w:lang w:val="en-GB"/>
        </w:rPr>
        <w:t>The source of the data is ChatGPT: the data was collected using AI from real sources provided by the companies (AI collected, but not AI generated data). This type of data is not suitable for processing as the basis for a forensic expert opinion, for example, but it can provide a suitable basis for a methodological recommendation.</w:t>
      </w:r>
    </w:p>
    <w:p w14:paraId="157E8C33" w14:textId="77777777" w:rsidR="00E30C60" w:rsidRDefault="00E30C60" w:rsidP="004978EC">
      <w:pPr>
        <w:spacing w:after="0"/>
        <w:rPr>
          <w:lang w:val="en-GB"/>
        </w:rPr>
      </w:pPr>
    </w:p>
    <w:tbl>
      <w:tblPr>
        <w:tblStyle w:val="TableGrid"/>
        <w:tblW w:w="0" w:type="auto"/>
        <w:tblLook w:val="04A0" w:firstRow="1" w:lastRow="0" w:firstColumn="1" w:lastColumn="0" w:noHBand="0" w:noVBand="1"/>
      </w:tblPr>
      <w:tblGrid>
        <w:gridCol w:w="1285"/>
        <w:gridCol w:w="602"/>
        <w:gridCol w:w="753"/>
        <w:gridCol w:w="811"/>
        <w:gridCol w:w="743"/>
        <w:gridCol w:w="831"/>
        <w:gridCol w:w="855"/>
        <w:gridCol w:w="758"/>
        <w:gridCol w:w="758"/>
        <w:gridCol w:w="733"/>
        <w:gridCol w:w="933"/>
      </w:tblGrid>
      <w:tr w:rsidR="00E30C60" w:rsidRPr="00E30C60" w14:paraId="08A53378" w14:textId="77777777" w:rsidTr="00E30C60">
        <w:trPr>
          <w:cantSplit/>
          <w:trHeight w:val="2704"/>
        </w:trPr>
        <w:tc>
          <w:tcPr>
            <w:tcW w:w="846" w:type="dxa"/>
            <w:noWrap/>
            <w:textDirection w:val="btLr"/>
            <w:hideMark/>
          </w:tcPr>
          <w:p w14:paraId="77B45B96" w14:textId="34BA1252" w:rsidR="00E30C60" w:rsidRPr="00E30C60" w:rsidRDefault="00E30C60" w:rsidP="00E30C60">
            <w:pPr>
              <w:ind w:left="113" w:right="113"/>
            </w:pPr>
            <w:r>
              <w:t>Company</w:t>
            </w:r>
          </w:p>
        </w:tc>
        <w:tc>
          <w:tcPr>
            <w:tcW w:w="632" w:type="dxa"/>
            <w:noWrap/>
            <w:textDirection w:val="btLr"/>
            <w:hideMark/>
          </w:tcPr>
          <w:p w14:paraId="5D2A746A" w14:textId="0B29E2D4" w:rsidR="00E30C60" w:rsidRPr="00E30C60" w:rsidRDefault="00E30C60" w:rsidP="00E30C60">
            <w:pPr>
              <w:ind w:left="113" w:right="113"/>
            </w:pPr>
            <w:r>
              <w:t xml:space="preserve">Material </w:t>
            </w:r>
            <w:proofErr w:type="spellStart"/>
            <w:r>
              <w:t>circularity</w:t>
            </w:r>
            <w:proofErr w:type="spellEnd"/>
            <w:r>
              <w:t xml:space="preserve"> </w:t>
            </w:r>
            <w:proofErr w:type="spellStart"/>
            <w:r>
              <w:t>ratio</w:t>
            </w:r>
            <w:proofErr w:type="spellEnd"/>
          </w:p>
        </w:tc>
        <w:tc>
          <w:tcPr>
            <w:tcW w:w="795" w:type="dxa"/>
            <w:noWrap/>
            <w:textDirection w:val="btLr"/>
            <w:hideMark/>
          </w:tcPr>
          <w:p w14:paraId="40C0E824" w14:textId="3CB35CAA" w:rsidR="00E30C60" w:rsidRPr="00E30C60" w:rsidRDefault="00E30C60" w:rsidP="00E30C60">
            <w:pPr>
              <w:ind w:left="113" w:right="113"/>
            </w:pPr>
            <w:proofErr w:type="spellStart"/>
            <w:r>
              <w:t>Product</w:t>
            </w:r>
            <w:proofErr w:type="spellEnd"/>
            <w:r>
              <w:t xml:space="preserve"> </w:t>
            </w:r>
            <w:proofErr w:type="spellStart"/>
            <w:r>
              <w:t>recycling</w:t>
            </w:r>
            <w:proofErr w:type="spellEnd"/>
          </w:p>
        </w:tc>
        <w:tc>
          <w:tcPr>
            <w:tcW w:w="858" w:type="dxa"/>
            <w:noWrap/>
            <w:textDirection w:val="btLr"/>
            <w:hideMark/>
          </w:tcPr>
          <w:p w14:paraId="43967A8E" w14:textId="1D93B70F" w:rsidR="00E30C60" w:rsidRPr="00E30C60" w:rsidRDefault="00E30C60" w:rsidP="00E30C60">
            <w:pPr>
              <w:ind w:left="113" w:right="113"/>
            </w:pPr>
            <w:proofErr w:type="spellStart"/>
            <w:r>
              <w:t>Waste</w:t>
            </w:r>
            <w:proofErr w:type="spellEnd"/>
            <w:r>
              <w:t xml:space="preserve"> </w:t>
            </w:r>
            <w:proofErr w:type="spellStart"/>
            <w:r>
              <w:t>recycling</w:t>
            </w:r>
            <w:proofErr w:type="spellEnd"/>
          </w:p>
        </w:tc>
        <w:tc>
          <w:tcPr>
            <w:tcW w:w="784" w:type="dxa"/>
            <w:noWrap/>
            <w:textDirection w:val="btLr"/>
            <w:hideMark/>
          </w:tcPr>
          <w:p w14:paraId="7EE86C61" w14:textId="41A16674" w:rsidR="00E30C60" w:rsidRPr="00E30C60" w:rsidRDefault="00E30C60" w:rsidP="00E30C60">
            <w:pPr>
              <w:ind w:left="113" w:right="113"/>
            </w:pPr>
            <w:proofErr w:type="spellStart"/>
            <w:r>
              <w:t>Digitalization</w:t>
            </w:r>
            <w:proofErr w:type="spellEnd"/>
            <w:r>
              <w:t xml:space="preserve"> </w:t>
            </w:r>
            <w:proofErr w:type="spellStart"/>
            <w:r>
              <w:t>maturity</w:t>
            </w:r>
            <w:proofErr w:type="spellEnd"/>
          </w:p>
        </w:tc>
        <w:tc>
          <w:tcPr>
            <w:tcW w:w="879" w:type="dxa"/>
            <w:noWrap/>
            <w:textDirection w:val="btLr"/>
            <w:hideMark/>
          </w:tcPr>
          <w:p w14:paraId="3592BA6D" w14:textId="4B78B933" w:rsidR="00E30C60" w:rsidRPr="00E30C60" w:rsidRDefault="00E30C60" w:rsidP="00E30C60">
            <w:pPr>
              <w:ind w:left="113" w:right="113"/>
            </w:pPr>
            <w:r>
              <w:t>Data-</w:t>
            </w:r>
            <w:proofErr w:type="spellStart"/>
            <w:r>
              <w:t>driven</w:t>
            </w:r>
            <w:proofErr w:type="spellEnd"/>
            <w:r>
              <w:t xml:space="preserve"> </w:t>
            </w:r>
            <w:proofErr w:type="spellStart"/>
            <w:r>
              <w:t>decision</w:t>
            </w:r>
            <w:proofErr w:type="spellEnd"/>
            <w:r>
              <w:t xml:space="preserve"> </w:t>
            </w:r>
            <w:proofErr w:type="spellStart"/>
            <w:r>
              <w:t>making</w:t>
            </w:r>
            <w:proofErr w:type="spellEnd"/>
          </w:p>
        </w:tc>
        <w:tc>
          <w:tcPr>
            <w:tcW w:w="905" w:type="dxa"/>
            <w:noWrap/>
            <w:textDirection w:val="btLr"/>
            <w:hideMark/>
          </w:tcPr>
          <w:p w14:paraId="5906C4BB" w14:textId="78800FC7" w:rsidR="00E30C60" w:rsidRPr="00E30C60" w:rsidRDefault="00E30C60" w:rsidP="00E30C60">
            <w:pPr>
              <w:ind w:left="113" w:right="113"/>
            </w:pPr>
            <w:proofErr w:type="spellStart"/>
            <w:r>
              <w:t>Circular</w:t>
            </w:r>
            <w:proofErr w:type="spellEnd"/>
            <w:r>
              <w:t xml:space="preserve"> </w:t>
            </w:r>
            <w:proofErr w:type="spellStart"/>
            <w:r>
              <w:t>data</w:t>
            </w:r>
            <w:proofErr w:type="spellEnd"/>
            <w:r>
              <w:t xml:space="preserve"> </w:t>
            </w:r>
            <w:proofErr w:type="spellStart"/>
            <w:r>
              <w:t>integration</w:t>
            </w:r>
            <w:proofErr w:type="spellEnd"/>
          </w:p>
        </w:tc>
        <w:tc>
          <w:tcPr>
            <w:tcW w:w="800" w:type="dxa"/>
            <w:noWrap/>
            <w:textDirection w:val="btLr"/>
            <w:hideMark/>
          </w:tcPr>
          <w:p w14:paraId="73B631AB" w14:textId="4FA41EED" w:rsidR="00E30C60" w:rsidRPr="00E30C60" w:rsidRDefault="00E30C60" w:rsidP="00E30C60">
            <w:pPr>
              <w:ind w:left="113" w:right="113"/>
            </w:pPr>
            <w:proofErr w:type="spellStart"/>
            <w:r>
              <w:t>Resource</w:t>
            </w:r>
            <w:proofErr w:type="spellEnd"/>
            <w:r>
              <w:t xml:space="preserve"> </w:t>
            </w:r>
            <w:proofErr w:type="spellStart"/>
            <w:r>
              <w:t>savings</w:t>
            </w:r>
            <w:proofErr w:type="spellEnd"/>
          </w:p>
        </w:tc>
        <w:tc>
          <w:tcPr>
            <w:tcW w:w="800" w:type="dxa"/>
            <w:noWrap/>
            <w:textDirection w:val="btLr"/>
            <w:hideMark/>
          </w:tcPr>
          <w:p w14:paraId="2F9C5100" w14:textId="3A6B24DA" w:rsidR="00E30C60" w:rsidRPr="00E30C60" w:rsidRDefault="00E30C60" w:rsidP="00E30C60">
            <w:pPr>
              <w:ind w:left="113" w:right="113"/>
            </w:pPr>
            <w:proofErr w:type="spellStart"/>
            <w:r>
              <w:t>Secondory</w:t>
            </w:r>
            <w:proofErr w:type="spellEnd"/>
            <w:r>
              <w:t xml:space="preserve"> </w:t>
            </w:r>
            <w:proofErr w:type="spellStart"/>
            <w:r>
              <w:t>revenues</w:t>
            </w:r>
            <w:proofErr w:type="spellEnd"/>
          </w:p>
        </w:tc>
        <w:tc>
          <w:tcPr>
            <w:tcW w:w="774" w:type="dxa"/>
            <w:noWrap/>
            <w:textDirection w:val="btLr"/>
            <w:hideMark/>
          </w:tcPr>
          <w:p w14:paraId="1ADC4BC9" w14:textId="08671491" w:rsidR="00E30C60" w:rsidRPr="00E30C60" w:rsidRDefault="00E30C60" w:rsidP="00E30C60">
            <w:pPr>
              <w:ind w:left="113" w:right="113"/>
            </w:pPr>
            <w:r>
              <w:t xml:space="preserve">ROI </w:t>
            </w:r>
            <w:proofErr w:type="spellStart"/>
            <w:r>
              <w:t>circular</w:t>
            </w:r>
            <w:proofErr w:type="spellEnd"/>
            <w:r>
              <w:t xml:space="preserve"> </w:t>
            </w:r>
            <w:proofErr w:type="spellStart"/>
            <w:r>
              <w:t>projects</w:t>
            </w:r>
            <w:proofErr w:type="spellEnd"/>
          </w:p>
        </w:tc>
        <w:tc>
          <w:tcPr>
            <w:tcW w:w="989" w:type="dxa"/>
            <w:noWrap/>
            <w:textDirection w:val="btLr"/>
            <w:hideMark/>
          </w:tcPr>
          <w:p w14:paraId="10542F3F" w14:textId="1F2D47D6" w:rsidR="00E30C60" w:rsidRPr="00E30C60" w:rsidRDefault="00E30C60" w:rsidP="00E30C60">
            <w:pPr>
              <w:ind w:left="113" w:right="113"/>
            </w:pPr>
            <w:r>
              <w:t>Energy/</w:t>
            </w:r>
            <w:proofErr w:type="spellStart"/>
            <w:r>
              <w:t>cost</w:t>
            </w:r>
            <w:proofErr w:type="spellEnd"/>
            <w:r>
              <w:t xml:space="preserve"> </w:t>
            </w:r>
            <w:proofErr w:type="spellStart"/>
            <w:r>
              <w:t>efficiency</w:t>
            </w:r>
            <w:proofErr w:type="spellEnd"/>
          </w:p>
        </w:tc>
      </w:tr>
      <w:tr w:rsidR="00E30C60" w:rsidRPr="00E30C60" w14:paraId="4A233079" w14:textId="77777777" w:rsidTr="00E30C60">
        <w:trPr>
          <w:trHeight w:val="300"/>
        </w:trPr>
        <w:tc>
          <w:tcPr>
            <w:tcW w:w="846" w:type="dxa"/>
            <w:noWrap/>
            <w:hideMark/>
          </w:tcPr>
          <w:p w14:paraId="44B4432F" w14:textId="77777777" w:rsidR="00E30C60" w:rsidRPr="00E30C60" w:rsidRDefault="00E30C60" w:rsidP="00E30C60">
            <w:r w:rsidRPr="00E30C60">
              <w:t>Siemens</w:t>
            </w:r>
          </w:p>
        </w:tc>
        <w:tc>
          <w:tcPr>
            <w:tcW w:w="632" w:type="dxa"/>
            <w:noWrap/>
            <w:hideMark/>
          </w:tcPr>
          <w:p w14:paraId="52822B94" w14:textId="77777777" w:rsidR="00E30C60" w:rsidRPr="00E30C60" w:rsidRDefault="00E30C60" w:rsidP="00E30C60">
            <w:r w:rsidRPr="00E30C60">
              <w:t>4,5</w:t>
            </w:r>
          </w:p>
        </w:tc>
        <w:tc>
          <w:tcPr>
            <w:tcW w:w="795" w:type="dxa"/>
            <w:noWrap/>
            <w:hideMark/>
          </w:tcPr>
          <w:p w14:paraId="66CEADDF" w14:textId="77777777" w:rsidR="00E30C60" w:rsidRPr="00E30C60" w:rsidRDefault="00E30C60" w:rsidP="00E30C60">
            <w:r w:rsidRPr="00E30C60">
              <w:t>4,5</w:t>
            </w:r>
          </w:p>
        </w:tc>
        <w:tc>
          <w:tcPr>
            <w:tcW w:w="858" w:type="dxa"/>
            <w:noWrap/>
            <w:hideMark/>
          </w:tcPr>
          <w:p w14:paraId="21F12D70" w14:textId="77777777" w:rsidR="00E30C60" w:rsidRPr="00E30C60" w:rsidRDefault="00E30C60" w:rsidP="00E30C60">
            <w:r w:rsidRPr="00E30C60">
              <w:t>4,5</w:t>
            </w:r>
          </w:p>
        </w:tc>
        <w:tc>
          <w:tcPr>
            <w:tcW w:w="784" w:type="dxa"/>
            <w:noWrap/>
            <w:hideMark/>
          </w:tcPr>
          <w:p w14:paraId="3C68EAF8" w14:textId="77777777" w:rsidR="00E30C60" w:rsidRPr="00E30C60" w:rsidRDefault="00E30C60" w:rsidP="00E30C60">
            <w:r w:rsidRPr="00E30C60">
              <w:t>5,0</w:t>
            </w:r>
          </w:p>
        </w:tc>
        <w:tc>
          <w:tcPr>
            <w:tcW w:w="879" w:type="dxa"/>
            <w:noWrap/>
            <w:hideMark/>
          </w:tcPr>
          <w:p w14:paraId="200AF84C" w14:textId="77777777" w:rsidR="00E30C60" w:rsidRPr="00E30C60" w:rsidRDefault="00E30C60" w:rsidP="00E30C60">
            <w:r w:rsidRPr="00E30C60">
              <w:t>5,0</w:t>
            </w:r>
          </w:p>
        </w:tc>
        <w:tc>
          <w:tcPr>
            <w:tcW w:w="905" w:type="dxa"/>
            <w:noWrap/>
            <w:hideMark/>
          </w:tcPr>
          <w:p w14:paraId="5FE44B08" w14:textId="77777777" w:rsidR="00E30C60" w:rsidRPr="00E30C60" w:rsidRDefault="00E30C60" w:rsidP="00E30C60">
            <w:r w:rsidRPr="00E30C60">
              <w:t>4,5</w:t>
            </w:r>
          </w:p>
        </w:tc>
        <w:tc>
          <w:tcPr>
            <w:tcW w:w="800" w:type="dxa"/>
            <w:noWrap/>
            <w:hideMark/>
          </w:tcPr>
          <w:p w14:paraId="541F606D" w14:textId="77777777" w:rsidR="00E30C60" w:rsidRPr="00E30C60" w:rsidRDefault="00E30C60" w:rsidP="00E30C60">
            <w:r w:rsidRPr="00E30C60">
              <w:t>4,0</w:t>
            </w:r>
          </w:p>
        </w:tc>
        <w:tc>
          <w:tcPr>
            <w:tcW w:w="800" w:type="dxa"/>
            <w:noWrap/>
            <w:hideMark/>
          </w:tcPr>
          <w:p w14:paraId="52C30C5D" w14:textId="77777777" w:rsidR="00E30C60" w:rsidRPr="00E30C60" w:rsidRDefault="00E30C60" w:rsidP="00E30C60">
            <w:r w:rsidRPr="00E30C60">
              <w:t>4,5</w:t>
            </w:r>
          </w:p>
        </w:tc>
        <w:tc>
          <w:tcPr>
            <w:tcW w:w="774" w:type="dxa"/>
            <w:noWrap/>
            <w:hideMark/>
          </w:tcPr>
          <w:p w14:paraId="1FBE32AA" w14:textId="77777777" w:rsidR="00E30C60" w:rsidRPr="00E30C60" w:rsidRDefault="00E30C60" w:rsidP="00E30C60">
            <w:r w:rsidRPr="00E30C60">
              <w:t>4,0</w:t>
            </w:r>
          </w:p>
        </w:tc>
        <w:tc>
          <w:tcPr>
            <w:tcW w:w="989" w:type="dxa"/>
            <w:noWrap/>
            <w:hideMark/>
          </w:tcPr>
          <w:p w14:paraId="5EAA664B" w14:textId="77777777" w:rsidR="00E30C60" w:rsidRPr="00E30C60" w:rsidRDefault="00E30C60" w:rsidP="00E30C60">
            <w:r w:rsidRPr="00E30C60">
              <w:t>5,0</w:t>
            </w:r>
          </w:p>
        </w:tc>
      </w:tr>
      <w:tr w:rsidR="00E30C60" w:rsidRPr="00E30C60" w14:paraId="1B84878D" w14:textId="77777777" w:rsidTr="00E30C60">
        <w:trPr>
          <w:trHeight w:val="300"/>
        </w:trPr>
        <w:tc>
          <w:tcPr>
            <w:tcW w:w="846" w:type="dxa"/>
            <w:noWrap/>
            <w:hideMark/>
          </w:tcPr>
          <w:p w14:paraId="43077B02" w14:textId="77777777" w:rsidR="00E30C60" w:rsidRPr="00E30C60" w:rsidRDefault="00E30C60" w:rsidP="00E30C60">
            <w:r w:rsidRPr="00E30C60">
              <w:t>BMW Group</w:t>
            </w:r>
          </w:p>
        </w:tc>
        <w:tc>
          <w:tcPr>
            <w:tcW w:w="632" w:type="dxa"/>
            <w:noWrap/>
            <w:hideMark/>
          </w:tcPr>
          <w:p w14:paraId="1106C888" w14:textId="77777777" w:rsidR="00E30C60" w:rsidRPr="00E30C60" w:rsidRDefault="00E30C60" w:rsidP="00E30C60">
            <w:r w:rsidRPr="00E30C60">
              <w:t>4,0</w:t>
            </w:r>
          </w:p>
        </w:tc>
        <w:tc>
          <w:tcPr>
            <w:tcW w:w="795" w:type="dxa"/>
            <w:noWrap/>
            <w:hideMark/>
          </w:tcPr>
          <w:p w14:paraId="4C47C3DA" w14:textId="77777777" w:rsidR="00E30C60" w:rsidRPr="00E30C60" w:rsidRDefault="00E30C60" w:rsidP="00E30C60">
            <w:r w:rsidRPr="00E30C60">
              <w:t>4,0</w:t>
            </w:r>
          </w:p>
        </w:tc>
        <w:tc>
          <w:tcPr>
            <w:tcW w:w="858" w:type="dxa"/>
            <w:noWrap/>
            <w:hideMark/>
          </w:tcPr>
          <w:p w14:paraId="78314FBE" w14:textId="77777777" w:rsidR="00E30C60" w:rsidRPr="00E30C60" w:rsidRDefault="00E30C60" w:rsidP="00E30C60">
            <w:r w:rsidRPr="00E30C60">
              <w:t>4,5</w:t>
            </w:r>
          </w:p>
        </w:tc>
        <w:tc>
          <w:tcPr>
            <w:tcW w:w="784" w:type="dxa"/>
            <w:noWrap/>
            <w:hideMark/>
          </w:tcPr>
          <w:p w14:paraId="16CD2C27" w14:textId="77777777" w:rsidR="00E30C60" w:rsidRPr="00E30C60" w:rsidRDefault="00E30C60" w:rsidP="00E30C60">
            <w:r w:rsidRPr="00E30C60">
              <w:t>4,0</w:t>
            </w:r>
          </w:p>
        </w:tc>
        <w:tc>
          <w:tcPr>
            <w:tcW w:w="879" w:type="dxa"/>
            <w:noWrap/>
            <w:hideMark/>
          </w:tcPr>
          <w:p w14:paraId="58239F05" w14:textId="77777777" w:rsidR="00E30C60" w:rsidRPr="00E30C60" w:rsidRDefault="00E30C60" w:rsidP="00E30C60">
            <w:r w:rsidRPr="00E30C60">
              <w:t>4,0</w:t>
            </w:r>
          </w:p>
        </w:tc>
        <w:tc>
          <w:tcPr>
            <w:tcW w:w="905" w:type="dxa"/>
            <w:noWrap/>
            <w:hideMark/>
          </w:tcPr>
          <w:p w14:paraId="69986E43" w14:textId="77777777" w:rsidR="00E30C60" w:rsidRPr="00E30C60" w:rsidRDefault="00E30C60" w:rsidP="00E30C60">
            <w:r w:rsidRPr="00E30C60">
              <w:t>4,5</w:t>
            </w:r>
          </w:p>
        </w:tc>
        <w:tc>
          <w:tcPr>
            <w:tcW w:w="800" w:type="dxa"/>
            <w:noWrap/>
            <w:hideMark/>
          </w:tcPr>
          <w:p w14:paraId="17CAEC50" w14:textId="77777777" w:rsidR="00E30C60" w:rsidRPr="00E30C60" w:rsidRDefault="00E30C60" w:rsidP="00E30C60">
            <w:r w:rsidRPr="00E30C60">
              <w:t>4,0</w:t>
            </w:r>
          </w:p>
        </w:tc>
        <w:tc>
          <w:tcPr>
            <w:tcW w:w="800" w:type="dxa"/>
            <w:noWrap/>
            <w:hideMark/>
          </w:tcPr>
          <w:p w14:paraId="5ED88916" w14:textId="77777777" w:rsidR="00E30C60" w:rsidRPr="00E30C60" w:rsidRDefault="00E30C60" w:rsidP="00E30C60">
            <w:r w:rsidRPr="00E30C60">
              <w:t>3,0</w:t>
            </w:r>
          </w:p>
        </w:tc>
        <w:tc>
          <w:tcPr>
            <w:tcW w:w="774" w:type="dxa"/>
            <w:noWrap/>
            <w:hideMark/>
          </w:tcPr>
          <w:p w14:paraId="340FEA88" w14:textId="77777777" w:rsidR="00E30C60" w:rsidRPr="00E30C60" w:rsidRDefault="00E30C60" w:rsidP="00E30C60">
            <w:r w:rsidRPr="00E30C60">
              <w:t>4,5</w:t>
            </w:r>
          </w:p>
        </w:tc>
        <w:tc>
          <w:tcPr>
            <w:tcW w:w="989" w:type="dxa"/>
            <w:noWrap/>
            <w:hideMark/>
          </w:tcPr>
          <w:p w14:paraId="61A53F91" w14:textId="77777777" w:rsidR="00E30C60" w:rsidRPr="00E30C60" w:rsidRDefault="00E30C60" w:rsidP="00E30C60">
            <w:r w:rsidRPr="00E30C60">
              <w:t>4,0</w:t>
            </w:r>
          </w:p>
        </w:tc>
      </w:tr>
      <w:tr w:rsidR="00E30C60" w:rsidRPr="00E30C60" w14:paraId="7D0A89E6" w14:textId="77777777" w:rsidTr="00E30C60">
        <w:trPr>
          <w:trHeight w:val="300"/>
        </w:trPr>
        <w:tc>
          <w:tcPr>
            <w:tcW w:w="846" w:type="dxa"/>
            <w:noWrap/>
            <w:hideMark/>
          </w:tcPr>
          <w:p w14:paraId="4650F8F3" w14:textId="77777777" w:rsidR="00E30C60" w:rsidRPr="00E30C60" w:rsidRDefault="00E30C60" w:rsidP="00E30C60">
            <w:r w:rsidRPr="00E30C60">
              <w:t>Volkswagen Group</w:t>
            </w:r>
          </w:p>
        </w:tc>
        <w:tc>
          <w:tcPr>
            <w:tcW w:w="632" w:type="dxa"/>
            <w:noWrap/>
            <w:hideMark/>
          </w:tcPr>
          <w:p w14:paraId="2B6B5C1E" w14:textId="77777777" w:rsidR="00E30C60" w:rsidRPr="00E30C60" w:rsidRDefault="00E30C60" w:rsidP="00E30C60">
            <w:r w:rsidRPr="00E30C60">
              <w:t>4,5</w:t>
            </w:r>
          </w:p>
        </w:tc>
        <w:tc>
          <w:tcPr>
            <w:tcW w:w="795" w:type="dxa"/>
            <w:noWrap/>
            <w:hideMark/>
          </w:tcPr>
          <w:p w14:paraId="50B9BC92" w14:textId="77777777" w:rsidR="00E30C60" w:rsidRPr="00E30C60" w:rsidRDefault="00E30C60" w:rsidP="00E30C60">
            <w:r w:rsidRPr="00E30C60">
              <w:t>4,5</w:t>
            </w:r>
          </w:p>
        </w:tc>
        <w:tc>
          <w:tcPr>
            <w:tcW w:w="858" w:type="dxa"/>
            <w:noWrap/>
            <w:hideMark/>
          </w:tcPr>
          <w:p w14:paraId="0084066F" w14:textId="77777777" w:rsidR="00E30C60" w:rsidRPr="00E30C60" w:rsidRDefault="00E30C60" w:rsidP="00E30C60">
            <w:r w:rsidRPr="00E30C60">
              <w:t>4,0</w:t>
            </w:r>
          </w:p>
        </w:tc>
        <w:tc>
          <w:tcPr>
            <w:tcW w:w="784" w:type="dxa"/>
            <w:noWrap/>
            <w:hideMark/>
          </w:tcPr>
          <w:p w14:paraId="63F7782F" w14:textId="77777777" w:rsidR="00E30C60" w:rsidRPr="00E30C60" w:rsidRDefault="00E30C60" w:rsidP="00E30C60">
            <w:r w:rsidRPr="00E30C60">
              <w:t>4,0</w:t>
            </w:r>
          </w:p>
        </w:tc>
        <w:tc>
          <w:tcPr>
            <w:tcW w:w="879" w:type="dxa"/>
            <w:noWrap/>
            <w:hideMark/>
          </w:tcPr>
          <w:p w14:paraId="27CA9531" w14:textId="77777777" w:rsidR="00E30C60" w:rsidRPr="00E30C60" w:rsidRDefault="00E30C60" w:rsidP="00E30C60">
            <w:r w:rsidRPr="00E30C60">
              <w:t>4,0</w:t>
            </w:r>
          </w:p>
        </w:tc>
        <w:tc>
          <w:tcPr>
            <w:tcW w:w="905" w:type="dxa"/>
            <w:noWrap/>
            <w:hideMark/>
          </w:tcPr>
          <w:p w14:paraId="21CA503F" w14:textId="77777777" w:rsidR="00E30C60" w:rsidRPr="00E30C60" w:rsidRDefault="00E30C60" w:rsidP="00E30C60">
            <w:r w:rsidRPr="00E30C60">
              <w:t>3,0</w:t>
            </w:r>
          </w:p>
        </w:tc>
        <w:tc>
          <w:tcPr>
            <w:tcW w:w="800" w:type="dxa"/>
            <w:noWrap/>
            <w:hideMark/>
          </w:tcPr>
          <w:p w14:paraId="69753363" w14:textId="77777777" w:rsidR="00E30C60" w:rsidRPr="00E30C60" w:rsidRDefault="00E30C60" w:rsidP="00E30C60">
            <w:r w:rsidRPr="00E30C60">
              <w:t>4,5</w:t>
            </w:r>
          </w:p>
        </w:tc>
        <w:tc>
          <w:tcPr>
            <w:tcW w:w="800" w:type="dxa"/>
            <w:noWrap/>
            <w:hideMark/>
          </w:tcPr>
          <w:p w14:paraId="50414723" w14:textId="77777777" w:rsidR="00E30C60" w:rsidRPr="00E30C60" w:rsidRDefault="00E30C60" w:rsidP="00E30C60">
            <w:r w:rsidRPr="00E30C60">
              <w:t>3,0</w:t>
            </w:r>
          </w:p>
        </w:tc>
        <w:tc>
          <w:tcPr>
            <w:tcW w:w="774" w:type="dxa"/>
            <w:noWrap/>
            <w:hideMark/>
          </w:tcPr>
          <w:p w14:paraId="7352F250" w14:textId="77777777" w:rsidR="00E30C60" w:rsidRPr="00E30C60" w:rsidRDefault="00E30C60" w:rsidP="00E30C60">
            <w:r w:rsidRPr="00E30C60">
              <w:t>3,0</w:t>
            </w:r>
          </w:p>
        </w:tc>
        <w:tc>
          <w:tcPr>
            <w:tcW w:w="989" w:type="dxa"/>
            <w:noWrap/>
            <w:hideMark/>
          </w:tcPr>
          <w:p w14:paraId="5026D6C8" w14:textId="77777777" w:rsidR="00E30C60" w:rsidRPr="00E30C60" w:rsidRDefault="00E30C60" w:rsidP="00E30C60">
            <w:r w:rsidRPr="00E30C60">
              <w:t>4,0</w:t>
            </w:r>
          </w:p>
        </w:tc>
      </w:tr>
      <w:tr w:rsidR="00E30C60" w:rsidRPr="00E30C60" w14:paraId="17A7C2A7" w14:textId="77777777" w:rsidTr="00E30C60">
        <w:trPr>
          <w:trHeight w:val="300"/>
        </w:trPr>
        <w:tc>
          <w:tcPr>
            <w:tcW w:w="846" w:type="dxa"/>
            <w:noWrap/>
            <w:hideMark/>
          </w:tcPr>
          <w:p w14:paraId="18593531" w14:textId="77777777" w:rsidR="00E30C60" w:rsidRPr="00E30C60" w:rsidRDefault="00E30C60" w:rsidP="00E30C60">
            <w:r w:rsidRPr="00E30C60">
              <w:t>Bosch</w:t>
            </w:r>
          </w:p>
        </w:tc>
        <w:tc>
          <w:tcPr>
            <w:tcW w:w="632" w:type="dxa"/>
            <w:noWrap/>
            <w:hideMark/>
          </w:tcPr>
          <w:p w14:paraId="315A5D5D" w14:textId="77777777" w:rsidR="00E30C60" w:rsidRPr="00E30C60" w:rsidRDefault="00E30C60" w:rsidP="00E30C60">
            <w:r w:rsidRPr="00E30C60">
              <w:t>4,0</w:t>
            </w:r>
          </w:p>
        </w:tc>
        <w:tc>
          <w:tcPr>
            <w:tcW w:w="795" w:type="dxa"/>
            <w:noWrap/>
            <w:hideMark/>
          </w:tcPr>
          <w:p w14:paraId="72BC73FA" w14:textId="77777777" w:rsidR="00E30C60" w:rsidRPr="00E30C60" w:rsidRDefault="00E30C60" w:rsidP="00E30C60">
            <w:r w:rsidRPr="00E30C60">
              <w:t>3,0</w:t>
            </w:r>
          </w:p>
        </w:tc>
        <w:tc>
          <w:tcPr>
            <w:tcW w:w="858" w:type="dxa"/>
            <w:noWrap/>
            <w:hideMark/>
          </w:tcPr>
          <w:p w14:paraId="42BA2AB1" w14:textId="77777777" w:rsidR="00E30C60" w:rsidRPr="00E30C60" w:rsidRDefault="00E30C60" w:rsidP="00E30C60">
            <w:r w:rsidRPr="00E30C60">
              <w:t>4,0</w:t>
            </w:r>
          </w:p>
        </w:tc>
        <w:tc>
          <w:tcPr>
            <w:tcW w:w="784" w:type="dxa"/>
            <w:noWrap/>
            <w:hideMark/>
          </w:tcPr>
          <w:p w14:paraId="7B049F4A" w14:textId="77777777" w:rsidR="00E30C60" w:rsidRPr="00E30C60" w:rsidRDefault="00E30C60" w:rsidP="00E30C60">
            <w:r w:rsidRPr="00E30C60">
              <w:t>4,5</w:t>
            </w:r>
          </w:p>
        </w:tc>
        <w:tc>
          <w:tcPr>
            <w:tcW w:w="879" w:type="dxa"/>
            <w:noWrap/>
            <w:hideMark/>
          </w:tcPr>
          <w:p w14:paraId="7B5FD5A9" w14:textId="77777777" w:rsidR="00E30C60" w:rsidRPr="00E30C60" w:rsidRDefault="00E30C60" w:rsidP="00E30C60">
            <w:r w:rsidRPr="00E30C60">
              <w:t>4,0</w:t>
            </w:r>
          </w:p>
        </w:tc>
        <w:tc>
          <w:tcPr>
            <w:tcW w:w="905" w:type="dxa"/>
            <w:noWrap/>
            <w:hideMark/>
          </w:tcPr>
          <w:p w14:paraId="2694B74C" w14:textId="77777777" w:rsidR="00E30C60" w:rsidRPr="00E30C60" w:rsidRDefault="00E30C60" w:rsidP="00E30C60">
            <w:r w:rsidRPr="00E30C60">
              <w:t>4,0</w:t>
            </w:r>
          </w:p>
        </w:tc>
        <w:tc>
          <w:tcPr>
            <w:tcW w:w="800" w:type="dxa"/>
            <w:noWrap/>
            <w:hideMark/>
          </w:tcPr>
          <w:p w14:paraId="32489EAD" w14:textId="77777777" w:rsidR="00E30C60" w:rsidRPr="00E30C60" w:rsidRDefault="00E30C60" w:rsidP="00E30C60">
            <w:r w:rsidRPr="00E30C60">
              <w:t>4,5</w:t>
            </w:r>
          </w:p>
        </w:tc>
        <w:tc>
          <w:tcPr>
            <w:tcW w:w="800" w:type="dxa"/>
            <w:noWrap/>
            <w:hideMark/>
          </w:tcPr>
          <w:p w14:paraId="26FC11F0" w14:textId="77777777" w:rsidR="00E30C60" w:rsidRPr="00E30C60" w:rsidRDefault="00E30C60" w:rsidP="00E30C60">
            <w:r w:rsidRPr="00E30C60">
              <w:t>3,0</w:t>
            </w:r>
          </w:p>
        </w:tc>
        <w:tc>
          <w:tcPr>
            <w:tcW w:w="774" w:type="dxa"/>
            <w:noWrap/>
            <w:hideMark/>
          </w:tcPr>
          <w:p w14:paraId="2F48FBC8" w14:textId="77777777" w:rsidR="00E30C60" w:rsidRPr="00E30C60" w:rsidRDefault="00E30C60" w:rsidP="00E30C60">
            <w:r w:rsidRPr="00E30C60">
              <w:t>4,5</w:t>
            </w:r>
          </w:p>
        </w:tc>
        <w:tc>
          <w:tcPr>
            <w:tcW w:w="989" w:type="dxa"/>
            <w:noWrap/>
            <w:hideMark/>
          </w:tcPr>
          <w:p w14:paraId="1DEFE819" w14:textId="77777777" w:rsidR="00E30C60" w:rsidRPr="00E30C60" w:rsidRDefault="00E30C60" w:rsidP="00E30C60">
            <w:r w:rsidRPr="00E30C60">
              <w:t>4,5</w:t>
            </w:r>
          </w:p>
        </w:tc>
      </w:tr>
      <w:tr w:rsidR="00E30C60" w:rsidRPr="00E30C60" w14:paraId="7DD04C5F" w14:textId="77777777" w:rsidTr="00E30C60">
        <w:trPr>
          <w:trHeight w:val="300"/>
        </w:trPr>
        <w:tc>
          <w:tcPr>
            <w:tcW w:w="846" w:type="dxa"/>
            <w:noWrap/>
            <w:hideMark/>
          </w:tcPr>
          <w:p w14:paraId="19E343A8" w14:textId="77777777" w:rsidR="00E30C60" w:rsidRPr="00E30C60" w:rsidRDefault="00E30C60" w:rsidP="00E30C60">
            <w:r w:rsidRPr="00E30C60">
              <w:t>Schneider Electric</w:t>
            </w:r>
          </w:p>
        </w:tc>
        <w:tc>
          <w:tcPr>
            <w:tcW w:w="632" w:type="dxa"/>
            <w:noWrap/>
            <w:hideMark/>
          </w:tcPr>
          <w:p w14:paraId="3EA74658" w14:textId="77777777" w:rsidR="00E30C60" w:rsidRPr="00E30C60" w:rsidRDefault="00E30C60" w:rsidP="00E30C60">
            <w:r w:rsidRPr="00E30C60">
              <w:t>4,5</w:t>
            </w:r>
          </w:p>
        </w:tc>
        <w:tc>
          <w:tcPr>
            <w:tcW w:w="795" w:type="dxa"/>
            <w:noWrap/>
            <w:hideMark/>
          </w:tcPr>
          <w:p w14:paraId="32426E4B" w14:textId="77777777" w:rsidR="00E30C60" w:rsidRPr="00E30C60" w:rsidRDefault="00E30C60" w:rsidP="00E30C60">
            <w:r w:rsidRPr="00E30C60">
              <w:t>4,5</w:t>
            </w:r>
          </w:p>
        </w:tc>
        <w:tc>
          <w:tcPr>
            <w:tcW w:w="858" w:type="dxa"/>
            <w:noWrap/>
            <w:hideMark/>
          </w:tcPr>
          <w:p w14:paraId="398E024C" w14:textId="77777777" w:rsidR="00E30C60" w:rsidRPr="00E30C60" w:rsidRDefault="00E30C60" w:rsidP="00E30C60">
            <w:r w:rsidRPr="00E30C60">
              <w:t>4,5</w:t>
            </w:r>
          </w:p>
        </w:tc>
        <w:tc>
          <w:tcPr>
            <w:tcW w:w="784" w:type="dxa"/>
            <w:noWrap/>
            <w:hideMark/>
          </w:tcPr>
          <w:p w14:paraId="17FAE94A" w14:textId="77777777" w:rsidR="00E30C60" w:rsidRPr="00E30C60" w:rsidRDefault="00E30C60" w:rsidP="00E30C60">
            <w:r w:rsidRPr="00E30C60">
              <w:t>5,0</w:t>
            </w:r>
          </w:p>
        </w:tc>
        <w:tc>
          <w:tcPr>
            <w:tcW w:w="879" w:type="dxa"/>
            <w:noWrap/>
            <w:hideMark/>
          </w:tcPr>
          <w:p w14:paraId="0FD480E5" w14:textId="77777777" w:rsidR="00E30C60" w:rsidRPr="00E30C60" w:rsidRDefault="00E30C60" w:rsidP="00E30C60">
            <w:r w:rsidRPr="00E30C60">
              <w:t>5,0</w:t>
            </w:r>
          </w:p>
        </w:tc>
        <w:tc>
          <w:tcPr>
            <w:tcW w:w="905" w:type="dxa"/>
            <w:noWrap/>
            <w:hideMark/>
          </w:tcPr>
          <w:p w14:paraId="66618FD4" w14:textId="77777777" w:rsidR="00E30C60" w:rsidRPr="00E30C60" w:rsidRDefault="00E30C60" w:rsidP="00E30C60">
            <w:r w:rsidRPr="00E30C60">
              <w:t>5,0</w:t>
            </w:r>
          </w:p>
        </w:tc>
        <w:tc>
          <w:tcPr>
            <w:tcW w:w="800" w:type="dxa"/>
            <w:noWrap/>
            <w:hideMark/>
          </w:tcPr>
          <w:p w14:paraId="47D7B286" w14:textId="77777777" w:rsidR="00E30C60" w:rsidRPr="00E30C60" w:rsidRDefault="00E30C60" w:rsidP="00E30C60">
            <w:r w:rsidRPr="00E30C60">
              <w:t>4,5</w:t>
            </w:r>
          </w:p>
        </w:tc>
        <w:tc>
          <w:tcPr>
            <w:tcW w:w="800" w:type="dxa"/>
            <w:noWrap/>
            <w:hideMark/>
          </w:tcPr>
          <w:p w14:paraId="38E897D8" w14:textId="77777777" w:rsidR="00E30C60" w:rsidRPr="00E30C60" w:rsidRDefault="00E30C60" w:rsidP="00E30C60">
            <w:r w:rsidRPr="00E30C60">
              <w:t>4,0</w:t>
            </w:r>
          </w:p>
        </w:tc>
        <w:tc>
          <w:tcPr>
            <w:tcW w:w="774" w:type="dxa"/>
            <w:noWrap/>
            <w:hideMark/>
          </w:tcPr>
          <w:p w14:paraId="4E161927" w14:textId="77777777" w:rsidR="00E30C60" w:rsidRPr="00E30C60" w:rsidRDefault="00E30C60" w:rsidP="00E30C60">
            <w:r w:rsidRPr="00E30C60">
              <w:t>4,0</w:t>
            </w:r>
          </w:p>
        </w:tc>
        <w:tc>
          <w:tcPr>
            <w:tcW w:w="989" w:type="dxa"/>
            <w:noWrap/>
            <w:hideMark/>
          </w:tcPr>
          <w:p w14:paraId="40CFC549" w14:textId="77777777" w:rsidR="00E30C60" w:rsidRPr="00E30C60" w:rsidRDefault="00E30C60" w:rsidP="00E30C60">
            <w:r w:rsidRPr="00E30C60">
              <w:t>5,0</w:t>
            </w:r>
          </w:p>
        </w:tc>
      </w:tr>
      <w:tr w:rsidR="00E30C60" w:rsidRPr="00E30C60" w14:paraId="2E526EAB" w14:textId="77777777" w:rsidTr="00E30C60">
        <w:trPr>
          <w:trHeight w:val="300"/>
        </w:trPr>
        <w:tc>
          <w:tcPr>
            <w:tcW w:w="846" w:type="dxa"/>
            <w:noWrap/>
            <w:hideMark/>
          </w:tcPr>
          <w:p w14:paraId="3B0EC3F6" w14:textId="77777777" w:rsidR="00E30C60" w:rsidRPr="00E30C60" w:rsidRDefault="00E30C60" w:rsidP="00E30C60">
            <w:r w:rsidRPr="00E30C60">
              <w:t>Apple</w:t>
            </w:r>
          </w:p>
        </w:tc>
        <w:tc>
          <w:tcPr>
            <w:tcW w:w="632" w:type="dxa"/>
            <w:noWrap/>
            <w:hideMark/>
          </w:tcPr>
          <w:p w14:paraId="40807A20" w14:textId="77777777" w:rsidR="00E30C60" w:rsidRPr="00E30C60" w:rsidRDefault="00E30C60" w:rsidP="00E30C60">
            <w:r w:rsidRPr="00E30C60">
              <w:t>4,5</w:t>
            </w:r>
          </w:p>
        </w:tc>
        <w:tc>
          <w:tcPr>
            <w:tcW w:w="795" w:type="dxa"/>
            <w:noWrap/>
            <w:hideMark/>
          </w:tcPr>
          <w:p w14:paraId="1BD9FB96" w14:textId="77777777" w:rsidR="00E30C60" w:rsidRPr="00E30C60" w:rsidRDefault="00E30C60" w:rsidP="00E30C60">
            <w:r w:rsidRPr="00E30C60">
              <w:t>4,0</w:t>
            </w:r>
          </w:p>
        </w:tc>
        <w:tc>
          <w:tcPr>
            <w:tcW w:w="858" w:type="dxa"/>
            <w:noWrap/>
            <w:hideMark/>
          </w:tcPr>
          <w:p w14:paraId="14957ACB" w14:textId="77777777" w:rsidR="00E30C60" w:rsidRPr="00E30C60" w:rsidRDefault="00E30C60" w:rsidP="00E30C60">
            <w:r w:rsidRPr="00E30C60">
              <w:t>4,0</w:t>
            </w:r>
          </w:p>
        </w:tc>
        <w:tc>
          <w:tcPr>
            <w:tcW w:w="784" w:type="dxa"/>
            <w:noWrap/>
            <w:hideMark/>
          </w:tcPr>
          <w:p w14:paraId="4594744B" w14:textId="77777777" w:rsidR="00E30C60" w:rsidRPr="00E30C60" w:rsidRDefault="00E30C60" w:rsidP="00E30C60">
            <w:r w:rsidRPr="00E30C60">
              <w:t>4,5</w:t>
            </w:r>
          </w:p>
        </w:tc>
        <w:tc>
          <w:tcPr>
            <w:tcW w:w="879" w:type="dxa"/>
            <w:noWrap/>
            <w:hideMark/>
          </w:tcPr>
          <w:p w14:paraId="6B3E4413" w14:textId="77777777" w:rsidR="00E30C60" w:rsidRPr="00E30C60" w:rsidRDefault="00E30C60" w:rsidP="00E30C60">
            <w:r w:rsidRPr="00E30C60">
              <w:t>5,0</w:t>
            </w:r>
          </w:p>
        </w:tc>
        <w:tc>
          <w:tcPr>
            <w:tcW w:w="905" w:type="dxa"/>
            <w:noWrap/>
            <w:hideMark/>
          </w:tcPr>
          <w:p w14:paraId="4EC67D25" w14:textId="77777777" w:rsidR="00E30C60" w:rsidRPr="00E30C60" w:rsidRDefault="00E30C60" w:rsidP="00E30C60">
            <w:r w:rsidRPr="00E30C60">
              <w:t>4,5</w:t>
            </w:r>
          </w:p>
        </w:tc>
        <w:tc>
          <w:tcPr>
            <w:tcW w:w="800" w:type="dxa"/>
            <w:noWrap/>
            <w:hideMark/>
          </w:tcPr>
          <w:p w14:paraId="2FBBD22E" w14:textId="77777777" w:rsidR="00E30C60" w:rsidRPr="00E30C60" w:rsidRDefault="00E30C60" w:rsidP="00E30C60">
            <w:r w:rsidRPr="00E30C60">
              <w:t>4,5</w:t>
            </w:r>
          </w:p>
        </w:tc>
        <w:tc>
          <w:tcPr>
            <w:tcW w:w="800" w:type="dxa"/>
            <w:noWrap/>
            <w:hideMark/>
          </w:tcPr>
          <w:p w14:paraId="537AEB1A" w14:textId="77777777" w:rsidR="00E30C60" w:rsidRPr="00E30C60" w:rsidRDefault="00E30C60" w:rsidP="00E30C60">
            <w:r w:rsidRPr="00E30C60">
              <w:t>4,0</w:t>
            </w:r>
          </w:p>
        </w:tc>
        <w:tc>
          <w:tcPr>
            <w:tcW w:w="774" w:type="dxa"/>
            <w:noWrap/>
            <w:hideMark/>
          </w:tcPr>
          <w:p w14:paraId="2D9A2DB9" w14:textId="77777777" w:rsidR="00E30C60" w:rsidRPr="00E30C60" w:rsidRDefault="00E30C60" w:rsidP="00E30C60">
            <w:r w:rsidRPr="00E30C60">
              <w:t>4,0</w:t>
            </w:r>
          </w:p>
        </w:tc>
        <w:tc>
          <w:tcPr>
            <w:tcW w:w="989" w:type="dxa"/>
            <w:noWrap/>
            <w:hideMark/>
          </w:tcPr>
          <w:p w14:paraId="0ED8CD8E" w14:textId="77777777" w:rsidR="00E30C60" w:rsidRPr="00E30C60" w:rsidRDefault="00E30C60" w:rsidP="00E30C60">
            <w:r w:rsidRPr="00E30C60">
              <w:t>5,0</w:t>
            </w:r>
          </w:p>
        </w:tc>
      </w:tr>
      <w:tr w:rsidR="00E30C60" w:rsidRPr="00E30C60" w14:paraId="5B8D4FA2" w14:textId="77777777" w:rsidTr="00E30C60">
        <w:trPr>
          <w:trHeight w:val="300"/>
        </w:trPr>
        <w:tc>
          <w:tcPr>
            <w:tcW w:w="846" w:type="dxa"/>
            <w:noWrap/>
            <w:hideMark/>
          </w:tcPr>
          <w:p w14:paraId="2B6C64CC" w14:textId="77777777" w:rsidR="00E30C60" w:rsidRPr="00E30C60" w:rsidRDefault="00E30C60" w:rsidP="00E30C60">
            <w:r w:rsidRPr="00E30C60">
              <w:t>Dell Technologies</w:t>
            </w:r>
          </w:p>
        </w:tc>
        <w:tc>
          <w:tcPr>
            <w:tcW w:w="632" w:type="dxa"/>
            <w:noWrap/>
            <w:hideMark/>
          </w:tcPr>
          <w:p w14:paraId="7863B54E" w14:textId="77777777" w:rsidR="00E30C60" w:rsidRPr="00E30C60" w:rsidRDefault="00E30C60" w:rsidP="00E30C60">
            <w:r w:rsidRPr="00E30C60">
              <w:t>4,0</w:t>
            </w:r>
          </w:p>
        </w:tc>
        <w:tc>
          <w:tcPr>
            <w:tcW w:w="795" w:type="dxa"/>
            <w:noWrap/>
            <w:hideMark/>
          </w:tcPr>
          <w:p w14:paraId="242F7151" w14:textId="77777777" w:rsidR="00E30C60" w:rsidRPr="00E30C60" w:rsidRDefault="00E30C60" w:rsidP="00E30C60">
            <w:r w:rsidRPr="00E30C60">
              <w:t>4,5</w:t>
            </w:r>
          </w:p>
        </w:tc>
        <w:tc>
          <w:tcPr>
            <w:tcW w:w="858" w:type="dxa"/>
            <w:noWrap/>
            <w:hideMark/>
          </w:tcPr>
          <w:p w14:paraId="4B1AED31" w14:textId="77777777" w:rsidR="00E30C60" w:rsidRPr="00E30C60" w:rsidRDefault="00E30C60" w:rsidP="00E30C60">
            <w:r w:rsidRPr="00E30C60">
              <w:t>4,0</w:t>
            </w:r>
          </w:p>
        </w:tc>
        <w:tc>
          <w:tcPr>
            <w:tcW w:w="784" w:type="dxa"/>
            <w:noWrap/>
            <w:hideMark/>
          </w:tcPr>
          <w:p w14:paraId="630A568D" w14:textId="77777777" w:rsidR="00E30C60" w:rsidRPr="00E30C60" w:rsidRDefault="00E30C60" w:rsidP="00E30C60">
            <w:r w:rsidRPr="00E30C60">
              <w:t>4,0</w:t>
            </w:r>
          </w:p>
        </w:tc>
        <w:tc>
          <w:tcPr>
            <w:tcW w:w="879" w:type="dxa"/>
            <w:noWrap/>
            <w:hideMark/>
          </w:tcPr>
          <w:p w14:paraId="1EA752B1" w14:textId="77777777" w:rsidR="00E30C60" w:rsidRPr="00E30C60" w:rsidRDefault="00E30C60" w:rsidP="00E30C60">
            <w:r w:rsidRPr="00E30C60">
              <w:t>4,0</w:t>
            </w:r>
          </w:p>
        </w:tc>
        <w:tc>
          <w:tcPr>
            <w:tcW w:w="905" w:type="dxa"/>
            <w:noWrap/>
            <w:hideMark/>
          </w:tcPr>
          <w:p w14:paraId="141C0042" w14:textId="77777777" w:rsidR="00E30C60" w:rsidRPr="00E30C60" w:rsidRDefault="00E30C60" w:rsidP="00E30C60">
            <w:r w:rsidRPr="00E30C60">
              <w:t>4,0</w:t>
            </w:r>
          </w:p>
        </w:tc>
        <w:tc>
          <w:tcPr>
            <w:tcW w:w="800" w:type="dxa"/>
            <w:noWrap/>
            <w:hideMark/>
          </w:tcPr>
          <w:p w14:paraId="1142A10C" w14:textId="77777777" w:rsidR="00E30C60" w:rsidRPr="00E30C60" w:rsidRDefault="00E30C60" w:rsidP="00E30C60">
            <w:r w:rsidRPr="00E30C60">
              <w:t>4,0</w:t>
            </w:r>
          </w:p>
        </w:tc>
        <w:tc>
          <w:tcPr>
            <w:tcW w:w="800" w:type="dxa"/>
            <w:noWrap/>
            <w:hideMark/>
          </w:tcPr>
          <w:p w14:paraId="4428FE42" w14:textId="77777777" w:rsidR="00E30C60" w:rsidRPr="00E30C60" w:rsidRDefault="00E30C60" w:rsidP="00E30C60">
            <w:r w:rsidRPr="00E30C60">
              <w:t>4,0</w:t>
            </w:r>
          </w:p>
        </w:tc>
        <w:tc>
          <w:tcPr>
            <w:tcW w:w="774" w:type="dxa"/>
            <w:noWrap/>
            <w:hideMark/>
          </w:tcPr>
          <w:p w14:paraId="73AF0CF4" w14:textId="77777777" w:rsidR="00E30C60" w:rsidRPr="00E30C60" w:rsidRDefault="00E30C60" w:rsidP="00E30C60">
            <w:r w:rsidRPr="00E30C60">
              <w:t>4,5</w:t>
            </w:r>
          </w:p>
        </w:tc>
        <w:tc>
          <w:tcPr>
            <w:tcW w:w="989" w:type="dxa"/>
            <w:noWrap/>
            <w:hideMark/>
          </w:tcPr>
          <w:p w14:paraId="1D90EAD3" w14:textId="77777777" w:rsidR="00E30C60" w:rsidRPr="00E30C60" w:rsidRDefault="00E30C60" w:rsidP="00E30C60">
            <w:r w:rsidRPr="00E30C60">
              <w:t>4,5</w:t>
            </w:r>
          </w:p>
        </w:tc>
      </w:tr>
      <w:tr w:rsidR="00E30C60" w:rsidRPr="00E30C60" w14:paraId="7D6F4EF5" w14:textId="77777777" w:rsidTr="00E30C60">
        <w:trPr>
          <w:trHeight w:val="300"/>
        </w:trPr>
        <w:tc>
          <w:tcPr>
            <w:tcW w:w="846" w:type="dxa"/>
            <w:noWrap/>
            <w:hideMark/>
          </w:tcPr>
          <w:p w14:paraId="5734CF6B" w14:textId="77777777" w:rsidR="00E30C60" w:rsidRPr="00E30C60" w:rsidRDefault="00E30C60" w:rsidP="00E30C60">
            <w:r w:rsidRPr="00E30C60">
              <w:t>IKEA</w:t>
            </w:r>
          </w:p>
        </w:tc>
        <w:tc>
          <w:tcPr>
            <w:tcW w:w="632" w:type="dxa"/>
            <w:noWrap/>
            <w:hideMark/>
          </w:tcPr>
          <w:p w14:paraId="20062659" w14:textId="77777777" w:rsidR="00E30C60" w:rsidRPr="00E30C60" w:rsidRDefault="00E30C60" w:rsidP="00E30C60">
            <w:r w:rsidRPr="00E30C60">
              <w:t>4,5</w:t>
            </w:r>
          </w:p>
        </w:tc>
        <w:tc>
          <w:tcPr>
            <w:tcW w:w="795" w:type="dxa"/>
            <w:noWrap/>
            <w:hideMark/>
          </w:tcPr>
          <w:p w14:paraId="26F9DC15" w14:textId="77777777" w:rsidR="00E30C60" w:rsidRPr="00E30C60" w:rsidRDefault="00E30C60" w:rsidP="00E30C60">
            <w:r w:rsidRPr="00E30C60">
              <w:t>5,0</w:t>
            </w:r>
          </w:p>
        </w:tc>
        <w:tc>
          <w:tcPr>
            <w:tcW w:w="858" w:type="dxa"/>
            <w:noWrap/>
            <w:hideMark/>
          </w:tcPr>
          <w:p w14:paraId="5A7CCA80" w14:textId="77777777" w:rsidR="00E30C60" w:rsidRPr="00E30C60" w:rsidRDefault="00E30C60" w:rsidP="00E30C60">
            <w:r w:rsidRPr="00E30C60">
              <w:t>4,0</w:t>
            </w:r>
          </w:p>
        </w:tc>
        <w:tc>
          <w:tcPr>
            <w:tcW w:w="784" w:type="dxa"/>
            <w:noWrap/>
            <w:hideMark/>
          </w:tcPr>
          <w:p w14:paraId="0071652C" w14:textId="77777777" w:rsidR="00E30C60" w:rsidRPr="00E30C60" w:rsidRDefault="00E30C60" w:rsidP="00E30C60">
            <w:r w:rsidRPr="00E30C60">
              <w:t>4,5</w:t>
            </w:r>
          </w:p>
        </w:tc>
        <w:tc>
          <w:tcPr>
            <w:tcW w:w="879" w:type="dxa"/>
            <w:noWrap/>
            <w:hideMark/>
          </w:tcPr>
          <w:p w14:paraId="19430634" w14:textId="77777777" w:rsidR="00E30C60" w:rsidRPr="00E30C60" w:rsidRDefault="00E30C60" w:rsidP="00E30C60">
            <w:r w:rsidRPr="00E30C60">
              <w:t>4,5</w:t>
            </w:r>
          </w:p>
        </w:tc>
        <w:tc>
          <w:tcPr>
            <w:tcW w:w="905" w:type="dxa"/>
            <w:noWrap/>
            <w:hideMark/>
          </w:tcPr>
          <w:p w14:paraId="3B51BBBA" w14:textId="77777777" w:rsidR="00E30C60" w:rsidRPr="00E30C60" w:rsidRDefault="00E30C60" w:rsidP="00E30C60">
            <w:r w:rsidRPr="00E30C60">
              <w:t>3,0</w:t>
            </w:r>
          </w:p>
        </w:tc>
        <w:tc>
          <w:tcPr>
            <w:tcW w:w="800" w:type="dxa"/>
            <w:noWrap/>
            <w:hideMark/>
          </w:tcPr>
          <w:p w14:paraId="499BB4CF" w14:textId="77777777" w:rsidR="00E30C60" w:rsidRPr="00E30C60" w:rsidRDefault="00E30C60" w:rsidP="00E30C60">
            <w:r w:rsidRPr="00E30C60">
              <w:t>4,0</w:t>
            </w:r>
          </w:p>
        </w:tc>
        <w:tc>
          <w:tcPr>
            <w:tcW w:w="800" w:type="dxa"/>
            <w:noWrap/>
            <w:hideMark/>
          </w:tcPr>
          <w:p w14:paraId="75745073" w14:textId="77777777" w:rsidR="00E30C60" w:rsidRPr="00E30C60" w:rsidRDefault="00E30C60" w:rsidP="00E30C60">
            <w:r w:rsidRPr="00E30C60">
              <w:t>4,0</w:t>
            </w:r>
          </w:p>
        </w:tc>
        <w:tc>
          <w:tcPr>
            <w:tcW w:w="774" w:type="dxa"/>
            <w:noWrap/>
            <w:hideMark/>
          </w:tcPr>
          <w:p w14:paraId="0A3F3129" w14:textId="77777777" w:rsidR="00E30C60" w:rsidRPr="00E30C60" w:rsidRDefault="00E30C60" w:rsidP="00E30C60">
            <w:r w:rsidRPr="00E30C60">
              <w:t>4,5</w:t>
            </w:r>
          </w:p>
        </w:tc>
        <w:tc>
          <w:tcPr>
            <w:tcW w:w="989" w:type="dxa"/>
            <w:noWrap/>
            <w:hideMark/>
          </w:tcPr>
          <w:p w14:paraId="354D9C3B" w14:textId="77777777" w:rsidR="00E30C60" w:rsidRPr="00E30C60" w:rsidRDefault="00E30C60" w:rsidP="00E30C60">
            <w:r w:rsidRPr="00E30C60">
              <w:t>4,0</w:t>
            </w:r>
          </w:p>
        </w:tc>
      </w:tr>
      <w:tr w:rsidR="00E30C60" w:rsidRPr="00E30C60" w14:paraId="0B1D8758" w14:textId="77777777" w:rsidTr="00E30C60">
        <w:trPr>
          <w:trHeight w:val="300"/>
        </w:trPr>
        <w:tc>
          <w:tcPr>
            <w:tcW w:w="846" w:type="dxa"/>
            <w:noWrap/>
            <w:hideMark/>
          </w:tcPr>
          <w:p w14:paraId="323510CE" w14:textId="77777777" w:rsidR="00E30C60" w:rsidRPr="00E30C60" w:rsidRDefault="00E30C60" w:rsidP="00E30C60">
            <w:r w:rsidRPr="00E30C60">
              <w:t>Philips</w:t>
            </w:r>
          </w:p>
        </w:tc>
        <w:tc>
          <w:tcPr>
            <w:tcW w:w="632" w:type="dxa"/>
            <w:noWrap/>
            <w:hideMark/>
          </w:tcPr>
          <w:p w14:paraId="38D275CB" w14:textId="77777777" w:rsidR="00E30C60" w:rsidRPr="00E30C60" w:rsidRDefault="00E30C60" w:rsidP="00E30C60">
            <w:r w:rsidRPr="00E30C60">
              <w:t>4,5</w:t>
            </w:r>
          </w:p>
        </w:tc>
        <w:tc>
          <w:tcPr>
            <w:tcW w:w="795" w:type="dxa"/>
            <w:noWrap/>
            <w:hideMark/>
          </w:tcPr>
          <w:p w14:paraId="7CFDC71B" w14:textId="77777777" w:rsidR="00E30C60" w:rsidRPr="00E30C60" w:rsidRDefault="00E30C60" w:rsidP="00E30C60">
            <w:r w:rsidRPr="00E30C60">
              <w:t>4,0</w:t>
            </w:r>
          </w:p>
        </w:tc>
        <w:tc>
          <w:tcPr>
            <w:tcW w:w="858" w:type="dxa"/>
            <w:noWrap/>
            <w:hideMark/>
          </w:tcPr>
          <w:p w14:paraId="2ECC5943" w14:textId="77777777" w:rsidR="00E30C60" w:rsidRPr="00E30C60" w:rsidRDefault="00E30C60" w:rsidP="00E30C60">
            <w:r w:rsidRPr="00E30C60">
              <w:t>4,5</w:t>
            </w:r>
          </w:p>
        </w:tc>
        <w:tc>
          <w:tcPr>
            <w:tcW w:w="784" w:type="dxa"/>
            <w:noWrap/>
            <w:hideMark/>
          </w:tcPr>
          <w:p w14:paraId="70891BF4" w14:textId="77777777" w:rsidR="00E30C60" w:rsidRPr="00E30C60" w:rsidRDefault="00E30C60" w:rsidP="00E30C60">
            <w:r w:rsidRPr="00E30C60">
              <w:t>4,0</w:t>
            </w:r>
          </w:p>
        </w:tc>
        <w:tc>
          <w:tcPr>
            <w:tcW w:w="879" w:type="dxa"/>
            <w:noWrap/>
            <w:hideMark/>
          </w:tcPr>
          <w:p w14:paraId="57025DD2" w14:textId="77777777" w:rsidR="00E30C60" w:rsidRPr="00E30C60" w:rsidRDefault="00E30C60" w:rsidP="00E30C60">
            <w:r w:rsidRPr="00E30C60">
              <w:t>4,0</w:t>
            </w:r>
          </w:p>
        </w:tc>
        <w:tc>
          <w:tcPr>
            <w:tcW w:w="905" w:type="dxa"/>
            <w:noWrap/>
            <w:hideMark/>
          </w:tcPr>
          <w:p w14:paraId="10D616A3" w14:textId="77777777" w:rsidR="00E30C60" w:rsidRPr="00E30C60" w:rsidRDefault="00E30C60" w:rsidP="00E30C60">
            <w:r w:rsidRPr="00E30C60">
              <w:t>4,0</w:t>
            </w:r>
          </w:p>
        </w:tc>
        <w:tc>
          <w:tcPr>
            <w:tcW w:w="800" w:type="dxa"/>
            <w:noWrap/>
            <w:hideMark/>
          </w:tcPr>
          <w:p w14:paraId="002F1A6D" w14:textId="77777777" w:rsidR="00E30C60" w:rsidRPr="00E30C60" w:rsidRDefault="00E30C60" w:rsidP="00E30C60">
            <w:r w:rsidRPr="00E30C60">
              <w:t>4,0</w:t>
            </w:r>
          </w:p>
        </w:tc>
        <w:tc>
          <w:tcPr>
            <w:tcW w:w="800" w:type="dxa"/>
            <w:noWrap/>
            <w:hideMark/>
          </w:tcPr>
          <w:p w14:paraId="2A156559" w14:textId="77777777" w:rsidR="00E30C60" w:rsidRPr="00E30C60" w:rsidRDefault="00E30C60" w:rsidP="00E30C60">
            <w:r w:rsidRPr="00E30C60">
              <w:t>4,5</w:t>
            </w:r>
          </w:p>
        </w:tc>
        <w:tc>
          <w:tcPr>
            <w:tcW w:w="774" w:type="dxa"/>
            <w:noWrap/>
            <w:hideMark/>
          </w:tcPr>
          <w:p w14:paraId="11DDBF15" w14:textId="77777777" w:rsidR="00E30C60" w:rsidRPr="00E30C60" w:rsidRDefault="00E30C60" w:rsidP="00E30C60">
            <w:r w:rsidRPr="00E30C60">
              <w:t>4,5</w:t>
            </w:r>
          </w:p>
        </w:tc>
        <w:tc>
          <w:tcPr>
            <w:tcW w:w="989" w:type="dxa"/>
            <w:noWrap/>
            <w:hideMark/>
          </w:tcPr>
          <w:p w14:paraId="02F84FE4" w14:textId="77777777" w:rsidR="00E30C60" w:rsidRPr="00E30C60" w:rsidRDefault="00E30C60" w:rsidP="00E30C60">
            <w:r w:rsidRPr="00E30C60">
              <w:t>4,0</w:t>
            </w:r>
          </w:p>
        </w:tc>
      </w:tr>
      <w:tr w:rsidR="00E30C60" w:rsidRPr="00E30C60" w14:paraId="05778349" w14:textId="77777777" w:rsidTr="00E30C60">
        <w:trPr>
          <w:trHeight w:val="300"/>
        </w:trPr>
        <w:tc>
          <w:tcPr>
            <w:tcW w:w="846" w:type="dxa"/>
            <w:noWrap/>
            <w:hideMark/>
          </w:tcPr>
          <w:p w14:paraId="06DDE037" w14:textId="77777777" w:rsidR="00E30C60" w:rsidRPr="00E30C60" w:rsidRDefault="00E30C60" w:rsidP="00E30C60">
            <w:r w:rsidRPr="00E30C60">
              <w:t>Unilever</w:t>
            </w:r>
          </w:p>
        </w:tc>
        <w:tc>
          <w:tcPr>
            <w:tcW w:w="632" w:type="dxa"/>
            <w:noWrap/>
            <w:hideMark/>
          </w:tcPr>
          <w:p w14:paraId="08EF4CA8" w14:textId="77777777" w:rsidR="00E30C60" w:rsidRPr="00E30C60" w:rsidRDefault="00E30C60" w:rsidP="00E30C60">
            <w:r w:rsidRPr="00E30C60">
              <w:t>4,0</w:t>
            </w:r>
          </w:p>
        </w:tc>
        <w:tc>
          <w:tcPr>
            <w:tcW w:w="795" w:type="dxa"/>
            <w:noWrap/>
            <w:hideMark/>
          </w:tcPr>
          <w:p w14:paraId="5F5C7378" w14:textId="77777777" w:rsidR="00E30C60" w:rsidRPr="00E30C60" w:rsidRDefault="00E30C60" w:rsidP="00E30C60">
            <w:r w:rsidRPr="00E30C60">
              <w:t>4,5</w:t>
            </w:r>
          </w:p>
        </w:tc>
        <w:tc>
          <w:tcPr>
            <w:tcW w:w="858" w:type="dxa"/>
            <w:noWrap/>
            <w:hideMark/>
          </w:tcPr>
          <w:p w14:paraId="78C69C7F" w14:textId="77777777" w:rsidR="00E30C60" w:rsidRPr="00E30C60" w:rsidRDefault="00E30C60" w:rsidP="00E30C60">
            <w:r w:rsidRPr="00E30C60">
              <w:t>4,0</w:t>
            </w:r>
          </w:p>
        </w:tc>
        <w:tc>
          <w:tcPr>
            <w:tcW w:w="784" w:type="dxa"/>
            <w:noWrap/>
            <w:hideMark/>
          </w:tcPr>
          <w:p w14:paraId="766EA3DA" w14:textId="77777777" w:rsidR="00E30C60" w:rsidRPr="00E30C60" w:rsidRDefault="00E30C60" w:rsidP="00E30C60">
            <w:r w:rsidRPr="00E30C60">
              <w:t>4,5</w:t>
            </w:r>
          </w:p>
        </w:tc>
        <w:tc>
          <w:tcPr>
            <w:tcW w:w="879" w:type="dxa"/>
            <w:noWrap/>
            <w:hideMark/>
          </w:tcPr>
          <w:p w14:paraId="0D90DBCF" w14:textId="77777777" w:rsidR="00E30C60" w:rsidRPr="00E30C60" w:rsidRDefault="00E30C60" w:rsidP="00E30C60">
            <w:r w:rsidRPr="00E30C60">
              <w:t>4,5</w:t>
            </w:r>
          </w:p>
        </w:tc>
        <w:tc>
          <w:tcPr>
            <w:tcW w:w="905" w:type="dxa"/>
            <w:noWrap/>
            <w:hideMark/>
          </w:tcPr>
          <w:p w14:paraId="094D4030" w14:textId="77777777" w:rsidR="00E30C60" w:rsidRPr="00E30C60" w:rsidRDefault="00E30C60" w:rsidP="00E30C60">
            <w:r w:rsidRPr="00E30C60">
              <w:t>3,0</w:t>
            </w:r>
          </w:p>
        </w:tc>
        <w:tc>
          <w:tcPr>
            <w:tcW w:w="800" w:type="dxa"/>
            <w:noWrap/>
            <w:hideMark/>
          </w:tcPr>
          <w:p w14:paraId="73A41673" w14:textId="77777777" w:rsidR="00E30C60" w:rsidRPr="00E30C60" w:rsidRDefault="00E30C60" w:rsidP="00E30C60">
            <w:r w:rsidRPr="00E30C60">
              <w:t>4,5</w:t>
            </w:r>
          </w:p>
        </w:tc>
        <w:tc>
          <w:tcPr>
            <w:tcW w:w="800" w:type="dxa"/>
            <w:noWrap/>
            <w:hideMark/>
          </w:tcPr>
          <w:p w14:paraId="78FE2FA3" w14:textId="77777777" w:rsidR="00E30C60" w:rsidRPr="00E30C60" w:rsidRDefault="00E30C60" w:rsidP="00E30C60">
            <w:r w:rsidRPr="00E30C60">
              <w:t>4,0</w:t>
            </w:r>
          </w:p>
        </w:tc>
        <w:tc>
          <w:tcPr>
            <w:tcW w:w="774" w:type="dxa"/>
            <w:noWrap/>
            <w:hideMark/>
          </w:tcPr>
          <w:p w14:paraId="4A7675C7" w14:textId="77777777" w:rsidR="00E30C60" w:rsidRPr="00E30C60" w:rsidRDefault="00E30C60" w:rsidP="00E30C60">
            <w:r w:rsidRPr="00E30C60">
              <w:t>4,5</w:t>
            </w:r>
          </w:p>
        </w:tc>
        <w:tc>
          <w:tcPr>
            <w:tcW w:w="989" w:type="dxa"/>
            <w:noWrap/>
            <w:hideMark/>
          </w:tcPr>
          <w:p w14:paraId="3D912CFC" w14:textId="77777777" w:rsidR="00E30C60" w:rsidRPr="00E30C60" w:rsidRDefault="00E30C60" w:rsidP="00E30C60">
            <w:r w:rsidRPr="00E30C60">
              <w:t>4,5</w:t>
            </w:r>
          </w:p>
        </w:tc>
      </w:tr>
    </w:tbl>
    <w:p w14:paraId="38F69380" w14:textId="77777777" w:rsidR="00E30C60" w:rsidRDefault="00E30C60" w:rsidP="004978EC">
      <w:pPr>
        <w:spacing w:after="0"/>
        <w:rPr>
          <w:lang w:val="en-GB"/>
        </w:rPr>
      </w:pPr>
    </w:p>
    <w:p w14:paraId="15825C9D" w14:textId="77777777" w:rsidR="00527237" w:rsidRDefault="00527237" w:rsidP="004978EC">
      <w:pPr>
        <w:spacing w:after="0"/>
        <w:rPr>
          <w:lang w:val="en-GB"/>
        </w:rPr>
      </w:pPr>
    </w:p>
    <w:p w14:paraId="61D10776" w14:textId="77777777" w:rsidR="00764392" w:rsidRDefault="00764392" w:rsidP="004978EC">
      <w:pPr>
        <w:spacing w:after="0"/>
        <w:rPr>
          <w:b/>
          <w:bCs/>
          <w:lang w:val="en-GB"/>
        </w:rPr>
      </w:pPr>
    </w:p>
    <w:p w14:paraId="569BEE35" w14:textId="77777777" w:rsidR="00764392" w:rsidRDefault="00764392" w:rsidP="004978EC">
      <w:pPr>
        <w:spacing w:after="0"/>
        <w:rPr>
          <w:b/>
          <w:bCs/>
          <w:lang w:val="en-GB"/>
        </w:rPr>
      </w:pPr>
    </w:p>
    <w:p w14:paraId="3BC6C628" w14:textId="77777777" w:rsidR="00764392" w:rsidRDefault="00764392" w:rsidP="004978EC">
      <w:pPr>
        <w:spacing w:after="0"/>
        <w:rPr>
          <w:b/>
          <w:bCs/>
          <w:lang w:val="en-GB"/>
        </w:rPr>
      </w:pPr>
    </w:p>
    <w:p w14:paraId="6EA8E3A4" w14:textId="370E545A" w:rsidR="00527237" w:rsidRPr="00527237" w:rsidRDefault="00527237" w:rsidP="004978EC">
      <w:pPr>
        <w:spacing w:after="0"/>
        <w:rPr>
          <w:b/>
          <w:bCs/>
          <w:lang w:val="en-GB"/>
        </w:rPr>
      </w:pPr>
      <w:r w:rsidRPr="00527237">
        <w:rPr>
          <w:b/>
          <w:bCs/>
          <w:lang w:val="en-GB"/>
        </w:rPr>
        <w:lastRenderedPageBreak/>
        <w:t>Automatable Method (OAM + COCO)</w:t>
      </w:r>
    </w:p>
    <w:p w14:paraId="5B18B8CB" w14:textId="77777777" w:rsidR="004B6FF4" w:rsidRDefault="004B6FF4" w:rsidP="004978EC">
      <w:pPr>
        <w:spacing w:after="0"/>
        <w:rPr>
          <w:lang w:val="en-GB"/>
        </w:rPr>
      </w:pPr>
    </w:p>
    <w:p w14:paraId="6031FD4B" w14:textId="73994C80" w:rsidR="00527237" w:rsidRPr="00527237" w:rsidRDefault="00527237" w:rsidP="004978EC">
      <w:pPr>
        <w:spacing w:after="0"/>
        <w:rPr>
          <w:lang w:val="en-GB"/>
        </w:rPr>
      </w:pPr>
      <w:r w:rsidRPr="00E30C60">
        <w:rPr>
          <w:b/>
          <w:bCs/>
          <w:lang w:val="en-GB"/>
        </w:rPr>
        <w:t>Step 1</w:t>
      </w:r>
      <w:r w:rsidRPr="00527237">
        <w:rPr>
          <w:lang w:val="en-GB"/>
        </w:rPr>
        <w:t xml:space="preserve"> – Building the OAM (Object–Attribute Matrix):</w:t>
      </w:r>
    </w:p>
    <w:p w14:paraId="78CF03AE" w14:textId="77777777" w:rsidR="00527237" w:rsidRPr="00527237" w:rsidRDefault="00527237" w:rsidP="004978EC">
      <w:pPr>
        <w:spacing w:after="0"/>
        <w:rPr>
          <w:lang w:val="en-GB"/>
        </w:rPr>
      </w:pPr>
    </w:p>
    <w:p w14:paraId="38CD1775" w14:textId="77777777" w:rsidR="00527237" w:rsidRPr="00527237" w:rsidRDefault="00527237" w:rsidP="004978EC">
      <w:pPr>
        <w:spacing w:after="0"/>
        <w:rPr>
          <w:lang w:val="en-GB"/>
        </w:rPr>
      </w:pPr>
      <w:r w:rsidRPr="00527237">
        <w:rPr>
          <w:lang w:val="en-GB"/>
        </w:rPr>
        <w:t>A 10×10 matrix was constructed where each row represents a company and each column an attribute of circular performance.</w:t>
      </w:r>
    </w:p>
    <w:p w14:paraId="2F09B70D" w14:textId="77777777" w:rsidR="00527237" w:rsidRPr="00527237" w:rsidRDefault="00527237" w:rsidP="004978EC">
      <w:pPr>
        <w:spacing w:after="0"/>
        <w:rPr>
          <w:lang w:val="en-GB"/>
        </w:rPr>
      </w:pPr>
    </w:p>
    <w:p w14:paraId="22C03582" w14:textId="77777777" w:rsidR="00527237" w:rsidRPr="00527237" w:rsidRDefault="00527237" w:rsidP="004978EC">
      <w:pPr>
        <w:spacing w:after="0"/>
        <w:rPr>
          <w:lang w:val="en-GB"/>
        </w:rPr>
      </w:pPr>
      <w:r w:rsidRPr="00E30C60">
        <w:rPr>
          <w:b/>
          <w:bCs/>
          <w:lang w:val="en-GB"/>
        </w:rPr>
        <w:t>Step 2</w:t>
      </w:r>
      <w:r w:rsidRPr="00527237">
        <w:rPr>
          <w:lang w:val="en-GB"/>
        </w:rPr>
        <w:t xml:space="preserve"> – Ranking and Visualization:</w:t>
      </w:r>
    </w:p>
    <w:p w14:paraId="42D17027" w14:textId="77777777" w:rsidR="00527237" w:rsidRPr="00527237" w:rsidRDefault="00527237" w:rsidP="004978EC">
      <w:pPr>
        <w:spacing w:after="0"/>
        <w:rPr>
          <w:lang w:val="en-GB"/>
        </w:rPr>
      </w:pPr>
    </w:p>
    <w:p w14:paraId="77C85D49" w14:textId="77777777" w:rsidR="00527237" w:rsidRPr="00527237" w:rsidRDefault="00527237" w:rsidP="004978EC">
      <w:pPr>
        <w:spacing w:after="0"/>
        <w:rPr>
          <w:lang w:val="en-GB"/>
        </w:rPr>
      </w:pPr>
      <w:r w:rsidRPr="00527237">
        <w:rPr>
          <w:lang w:val="en-GB"/>
        </w:rPr>
        <w:t>Each attribute was ranked independently from 1 (best) to 10 (worst).</w:t>
      </w:r>
    </w:p>
    <w:p w14:paraId="5CAFA08B" w14:textId="77777777" w:rsidR="00527237" w:rsidRPr="00527237" w:rsidRDefault="00527237" w:rsidP="004978EC">
      <w:pPr>
        <w:spacing w:after="0"/>
        <w:rPr>
          <w:lang w:val="en-GB"/>
        </w:rPr>
      </w:pPr>
      <w:r w:rsidRPr="00527237">
        <w:rPr>
          <w:lang w:val="en-GB"/>
        </w:rPr>
        <w:t>Conditional formatting (heat map) was applied:</w:t>
      </w:r>
    </w:p>
    <w:p w14:paraId="58AEEB68" w14:textId="77777777" w:rsidR="00527237" w:rsidRPr="00527237" w:rsidRDefault="00527237" w:rsidP="004978EC">
      <w:pPr>
        <w:spacing w:after="0"/>
        <w:rPr>
          <w:lang w:val="en-GB"/>
        </w:rPr>
      </w:pPr>
    </w:p>
    <w:p w14:paraId="4989D8BC" w14:textId="77777777" w:rsidR="00527237" w:rsidRPr="00527237" w:rsidRDefault="00527237" w:rsidP="004978EC">
      <w:pPr>
        <w:spacing w:after="0"/>
        <w:rPr>
          <w:lang w:val="en-GB"/>
        </w:rPr>
      </w:pPr>
      <w:r w:rsidRPr="00527237">
        <w:rPr>
          <w:lang w:val="en-GB"/>
        </w:rPr>
        <w:t>Dark/Light Green: top performance (1–2)</w:t>
      </w:r>
    </w:p>
    <w:p w14:paraId="484C89F9" w14:textId="77777777" w:rsidR="00527237" w:rsidRPr="00527237" w:rsidRDefault="00527237" w:rsidP="004978EC">
      <w:pPr>
        <w:spacing w:after="0"/>
        <w:rPr>
          <w:lang w:val="en-GB"/>
        </w:rPr>
      </w:pPr>
    </w:p>
    <w:p w14:paraId="3B5601F4" w14:textId="77777777" w:rsidR="00527237" w:rsidRPr="00527237" w:rsidRDefault="00527237" w:rsidP="004978EC">
      <w:pPr>
        <w:spacing w:after="0"/>
        <w:rPr>
          <w:lang w:val="en-GB"/>
        </w:rPr>
      </w:pPr>
      <w:r w:rsidRPr="00527237">
        <w:rPr>
          <w:lang w:val="en-GB"/>
        </w:rPr>
        <w:t>Yellow–Orange: average (3–7)</w:t>
      </w:r>
    </w:p>
    <w:p w14:paraId="6D95C814" w14:textId="77777777" w:rsidR="00527237" w:rsidRPr="00527237" w:rsidRDefault="00527237" w:rsidP="004978EC">
      <w:pPr>
        <w:spacing w:after="0"/>
        <w:rPr>
          <w:lang w:val="en-GB"/>
        </w:rPr>
      </w:pPr>
    </w:p>
    <w:p w14:paraId="26298A53" w14:textId="77777777" w:rsidR="00527237" w:rsidRPr="00527237" w:rsidRDefault="00527237" w:rsidP="004978EC">
      <w:pPr>
        <w:spacing w:after="0"/>
        <w:rPr>
          <w:lang w:val="en-GB"/>
        </w:rPr>
      </w:pPr>
      <w:r w:rsidRPr="00527237">
        <w:rPr>
          <w:lang w:val="en-GB"/>
        </w:rPr>
        <w:t>Red: weak (8–10)</w:t>
      </w:r>
    </w:p>
    <w:p w14:paraId="22AC4ABA" w14:textId="77777777" w:rsidR="00527237" w:rsidRPr="00527237" w:rsidRDefault="00527237" w:rsidP="004978EC">
      <w:pPr>
        <w:spacing w:after="0"/>
        <w:rPr>
          <w:lang w:val="en-GB"/>
        </w:rPr>
      </w:pPr>
    </w:p>
    <w:p w14:paraId="46BB7A5E" w14:textId="08FE64D5" w:rsidR="00527237" w:rsidRPr="00527237" w:rsidRDefault="00527237" w:rsidP="004978EC">
      <w:pPr>
        <w:spacing w:after="0"/>
        <w:rPr>
          <w:lang w:val="en-GB"/>
        </w:rPr>
      </w:pPr>
      <w:r w:rsidRPr="00E30C60">
        <w:rPr>
          <w:b/>
          <w:bCs/>
          <w:lang w:val="en-GB"/>
        </w:rPr>
        <w:t>Step 3</w:t>
      </w:r>
      <w:r w:rsidRPr="00527237">
        <w:rPr>
          <w:lang w:val="en-GB"/>
        </w:rPr>
        <w:t xml:space="preserve"> – Na</w:t>
      </w:r>
      <w:r w:rsidR="00E30C60">
        <w:rPr>
          <w:lang w:val="en-GB"/>
        </w:rPr>
        <w:t>i</w:t>
      </w:r>
      <w:r w:rsidRPr="00527237">
        <w:rPr>
          <w:lang w:val="en-GB"/>
        </w:rPr>
        <w:t>ve Benchmarking:</w:t>
      </w:r>
    </w:p>
    <w:p w14:paraId="215235DA" w14:textId="77777777" w:rsidR="00527237" w:rsidRPr="00527237" w:rsidRDefault="00527237" w:rsidP="004978EC">
      <w:pPr>
        <w:spacing w:after="0"/>
        <w:rPr>
          <w:lang w:val="en-GB"/>
        </w:rPr>
      </w:pPr>
    </w:p>
    <w:p w14:paraId="1E56233C" w14:textId="0774C93B" w:rsidR="00527237" w:rsidRDefault="00764392" w:rsidP="004978EC">
      <w:pPr>
        <w:spacing w:after="0"/>
        <w:rPr>
          <w:lang w:val="en-GB"/>
        </w:rPr>
      </w:pPr>
      <w:r w:rsidRPr="00764392">
        <w:rPr>
          <w:lang w:val="en-GB"/>
        </w:rPr>
        <w:t>We then took the average of the attributes for each company and used these values to create a naive ranking, where naivety is an expression of mathematical non-optimization.</w:t>
      </w:r>
    </w:p>
    <w:p w14:paraId="2F000A88" w14:textId="77777777" w:rsidR="00764392" w:rsidRPr="00527237" w:rsidRDefault="00764392" w:rsidP="004978EC">
      <w:pPr>
        <w:spacing w:after="0"/>
        <w:rPr>
          <w:lang w:val="en-GB"/>
        </w:rPr>
      </w:pPr>
    </w:p>
    <w:p w14:paraId="69926CB1" w14:textId="77777777" w:rsidR="00527237" w:rsidRPr="00527237" w:rsidRDefault="00527237" w:rsidP="004978EC">
      <w:pPr>
        <w:spacing w:after="0"/>
        <w:rPr>
          <w:lang w:val="en-GB"/>
        </w:rPr>
      </w:pPr>
      <w:r w:rsidRPr="00E30C60">
        <w:rPr>
          <w:b/>
          <w:bCs/>
          <w:lang w:val="en-GB"/>
        </w:rPr>
        <w:t>Step 4</w:t>
      </w:r>
      <w:r w:rsidRPr="00527237">
        <w:rPr>
          <w:lang w:val="en-GB"/>
        </w:rPr>
        <w:t xml:space="preserve"> – COCO Optimization:</w:t>
      </w:r>
    </w:p>
    <w:p w14:paraId="3160AF79" w14:textId="77777777" w:rsidR="00527237" w:rsidRPr="00527237" w:rsidRDefault="00527237" w:rsidP="004978EC">
      <w:pPr>
        <w:spacing w:after="0"/>
        <w:rPr>
          <w:lang w:val="en-GB"/>
        </w:rPr>
      </w:pPr>
    </w:p>
    <w:p w14:paraId="739F5149" w14:textId="4B86BC9B" w:rsidR="00527237" w:rsidRDefault="00764392" w:rsidP="004978EC">
      <w:pPr>
        <w:spacing w:after="0"/>
        <w:rPr>
          <w:lang w:val="en-GB"/>
        </w:rPr>
      </w:pPr>
      <w:r w:rsidRPr="00764392">
        <w:rPr>
          <w:lang w:val="en-GB"/>
        </w:rPr>
        <w:t>We then compared these results with the data generated by COCO, which essentially uses anti-discriminatory optimization (compared to the simplifying, i.e., one-attribute-one-parameter solution logic of regression, each attribute is assigned strictly monotonically decreasing parameters for each step/sequence number in order to approximate the constant outcome variable (Y0=1000) as closely as possible for each object.</w:t>
      </w:r>
    </w:p>
    <w:p w14:paraId="5D4AF180" w14:textId="77777777" w:rsidR="00764392" w:rsidRPr="00527237" w:rsidRDefault="00764392" w:rsidP="004978EC">
      <w:pPr>
        <w:spacing w:after="0"/>
        <w:rPr>
          <w:lang w:val="en-GB"/>
        </w:rPr>
      </w:pPr>
    </w:p>
    <w:p w14:paraId="41FE6045" w14:textId="77777777" w:rsidR="00527237" w:rsidRPr="00527237" w:rsidRDefault="00527237" w:rsidP="004978EC">
      <w:pPr>
        <w:spacing w:after="0"/>
        <w:rPr>
          <w:lang w:val="en-GB"/>
        </w:rPr>
      </w:pPr>
      <w:r w:rsidRPr="00E30C60">
        <w:rPr>
          <w:b/>
          <w:bCs/>
          <w:lang w:val="en-GB"/>
        </w:rPr>
        <w:t>Step 5</w:t>
      </w:r>
      <w:r w:rsidRPr="00527237">
        <w:rPr>
          <w:lang w:val="en-GB"/>
        </w:rPr>
        <w:t xml:space="preserve"> – Validation:</w:t>
      </w:r>
    </w:p>
    <w:p w14:paraId="56C00F8E" w14:textId="77777777" w:rsidR="00527237" w:rsidRPr="00527237" w:rsidRDefault="00527237" w:rsidP="004978EC">
      <w:pPr>
        <w:spacing w:after="0"/>
        <w:rPr>
          <w:lang w:val="en-GB"/>
        </w:rPr>
      </w:pPr>
    </w:p>
    <w:p w14:paraId="2121A848" w14:textId="13A04F77" w:rsidR="00527237" w:rsidRPr="00527237" w:rsidRDefault="00527237" w:rsidP="004978EC">
      <w:pPr>
        <w:spacing w:after="0"/>
        <w:rPr>
          <w:lang w:val="en-GB"/>
        </w:rPr>
      </w:pPr>
      <w:r w:rsidRPr="00527237">
        <w:rPr>
          <w:lang w:val="en-GB"/>
        </w:rPr>
        <w:t>The na</w:t>
      </w:r>
      <w:r>
        <w:rPr>
          <w:lang w:val="en-GB"/>
        </w:rPr>
        <w:t>i</w:t>
      </w:r>
      <w:r w:rsidRPr="00527237">
        <w:rPr>
          <w:lang w:val="en-GB"/>
        </w:rPr>
        <w:t>ve and COCO-derived rankings were compared using symmetry-based similarity analysis.</w:t>
      </w:r>
    </w:p>
    <w:p w14:paraId="37F6BB22" w14:textId="1E89DE41" w:rsidR="00527237" w:rsidRDefault="00527237" w:rsidP="004978EC">
      <w:pPr>
        <w:spacing w:after="0"/>
        <w:rPr>
          <w:lang w:val="en-GB"/>
        </w:rPr>
      </w:pPr>
      <w:r w:rsidRPr="00527237">
        <w:rPr>
          <w:lang w:val="en-GB"/>
        </w:rPr>
        <w:t xml:space="preserve">Identical ranking sequences indicated that the non-optimized and optimized methods converge </w:t>
      </w:r>
      <w:r w:rsidR="000A6455">
        <w:rPr>
          <w:lang w:val="en-GB"/>
        </w:rPr>
        <w:t xml:space="preserve">-&gt; </w:t>
      </w:r>
      <w:r w:rsidRPr="00527237">
        <w:rPr>
          <w:lang w:val="en-GB"/>
        </w:rPr>
        <w:t>a sign of methodological stability.</w:t>
      </w:r>
    </w:p>
    <w:p w14:paraId="20EBD612" w14:textId="77777777" w:rsidR="00527237" w:rsidRDefault="00527237" w:rsidP="004978EC">
      <w:pPr>
        <w:spacing w:after="0"/>
        <w:rPr>
          <w:lang w:val="en-GB"/>
        </w:rPr>
      </w:pPr>
    </w:p>
    <w:p w14:paraId="5B4E1BA1" w14:textId="2C79C573" w:rsidR="004B6FF4" w:rsidRDefault="00764392" w:rsidP="004978EC">
      <w:pPr>
        <w:spacing w:after="0"/>
        <w:rPr>
          <w:lang w:val="en-GB"/>
        </w:rPr>
      </w:pPr>
      <w:r>
        <w:rPr>
          <w:noProof/>
          <w:lang w:val="en-GB"/>
        </w:rPr>
        <w:lastRenderedPageBreak/>
        <w:drawing>
          <wp:inline distT="0" distB="0" distL="0" distR="0" wp14:anchorId="790EB9DC" wp14:editId="07FCF6A1">
            <wp:extent cx="9142504" cy="2835367"/>
            <wp:effectExtent l="0" t="8890" r="0" b="0"/>
            <wp:docPr id="18760349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6200000">
                      <a:off x="0" y="0"/>
                      <a:ext cx="9176052" cy="2845771"/>
                    </a:xfrm>
                    <a:prstGeom prst="rect">
                      <a:avLst/>
                    </a:prstGeom>
                    <a:noFill/>
                  </pic:spPr>
                </pic:pic>
              </a:graphicData>
            </a:graphic>
          </wp:inline>
        </w:drawing>
      </w:r>
    </w:p>
    <w:p w14:paraId="7681BC55" w14:textId="55961FCB" w:rsidR="004B6FF4" w:rsidRDefault="0094287F" w:rsidP="004978EC">
      <w:pPr>
        <w:spacing w:after="0"/>
        <w:rPr>
          <w:lang w:val="en-GB"/>
        </w:rPr>
      </w:pPr>
      <w:r w:rsidRPr="0094287F">
        <w:rPr>
          <w:lang w:val="en-GB"/>
        </w:rPr>
        <w:lastRenderedPageBreak/>
        <w:drawing>
          <wp:inline distT="0" distB="0" distL="0" distR="0" wp14:anchorId="7B4E850F" wp14:editId="3D5E1523">
            <wp:extent cx="5089660" cy="3458818"/>
            <wp:effectExtent l="0" t="0" r="0" b="8890"/>
            <wp:docPr id="11344012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401280" name=""/>
                    <pic:cNvPicPr/>
                  </pic:nvPicPr>
                  <pic:blipFill>
                    <a:blip r:embed="rId10"/>
                    <a:stretch>
                      <a:fillRect/>
                    </a:stretch>
                  </pic:blipFill>
                  <pic:spPr>
                    <a:xfrm>
                      <a:off x="0" y="0"/>
                      <a:ext cx="5097709" cy="3464288"/>
                    </a:xfrm>
                    <a:prstGeom prst="rect">
                      <a:avLst/>
                    </a:prstGeom>
                  </pic:spPr>
                </pic:pic>
              </a:graphicData>
            </a:graphic>
          </wp:inline>
        </w:drawing>
      </w:r>
    </w:p>
    <w:p w14:paraId="56276DD4" w14:textId="77777777" w:rsidR="00764392" w:rsidRDefault="00764392" w:rsidP="004978EC">
      <w:pPr>
        <w:spacing w:after="0"/>
        <w:rPr>
          <w:lang w:val="en-GB"/>
        </w:rPr>
      </w:pPr>
    </w:p>
    <w:p w14:paraId="357F600A" w14:textId="77777777" w:rsidR="0094287F" w:rsidRDefault="0094287F" w:rsidP="004978EC">
      <w:pPr>
        <w:spacing w:after="0"/>
        <w:rPr>
          <w:lang w:val="en-GB"/>
        </w:rPr>
      </w:pPr>
    </w:p>
    <w:p w14:paraId="0222DF37" w14:textId="410C987E" w:rsidR="00764392" w:rsidRDefault="0094287F" w:rsidP="004978EC">
      <w:pPr>
        <w:spacing w:after="0"/>
        <w:rPr>
          <w:lang w:val="en-GB"/>
        </w:rPr>
      </w:pPr>
      <w:r w:rsidRPr="0094287F">
        <w:rPr>
          <w:lang w:val="en-GB"/>
        </w:rPr>
        <w:drawing>
          <wp:inline distT="0" distB="0" distL="0" distR="0" wp14:anchorId="1B42EA40" wp14:editId="5D280DF3">
            <wp:extent cx="5104130" cy="3216525"/>
            <wp:effectExtent l="0" t="0" r="1270" b="3175"/>
            <wp:docPr id="6898894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889474" name=""/>
                    <pic:cNvPicPr/>
                  </pic:nvPicPr>
                  <pic:blipFill>
                    <a:blip r:embed="rId11"/>
                    <a:stretch>
                      <a:fillRect/>
                    </a:stretch>
                  </pic:blipFill>
                  <pic:spPr>
                    <a:xfrm>
                      <a:off x="0" y="0"/>
                      <a:ext cx="5113401" cy="3222367"/>
                    </a:xfrm>
                    <a:prstGeom prst="rect">
                      <a:avLst/>
                    </a:prstGeom>
                  </pic:spPr>
                </pic:pic>
              </a:graphicData>
            </a:graphic>
          </wp:inline>
        </w:drawing>
      </w:r>
    </w:p>
    <w:p w14:paraId="58EFF693" w14:textId="77777777" w:rsidR="0094287F" w:rsidRDefault="0094287F" w:rsidP="0094287F">
      <w:pPr>
        <w:spacing w:after="0"/>
        <w:rPr>
          <w:b/>
          <w:bCs/>
          <w:lang w:val="en-GB"/>
        </w:rPr>
      </w:pPr>
    </w:p>
    <w:p w14:paraId="2AAF84E3" w14:textId="49B6F6B0" w:rsidR="0094287F" w:rsidRDefault="0094287F" w:rsidP="0094287F">
      <w:pPr>
        <w:spacing w:after="0"/>
        <w:rPr>
          <w:b/>
          <w:bCs/>
          <w:lang w:val="en-GB"/>
        </w:rPr>
      </w:pPr>
      <w:r w:rsidRPr="0094287F">
        <w:rPr>
          <w:b/>
          <w:bCs/>
          <w:lang w:val="en-GB"/>
        </w:rPr>
        <w:lastRenderedPageBreak/>
        <w:drawing>
          <wp:inline distT="0" distB="0" distL="0" distR="0" wp14:anchorId="0B22893E" wp14:editId="669BE862">
            <wp:extent cx="5760720" cy="4836160"/>
            <wp:effectExtent l="0" t="0" r="0" b="2540"/>
            <wp:docPr id="2893588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358832" name=""/>
                    <pic:cNvPicPr/>
                  </pic:nvPicPr>
                  <pic:blipFill>
                    <a:blip r:embed="rId12"/>
                    <a:stretch>
                      <a:fillRect/>
                    </a:stretch>
                  </pic:blipFill>
                  <pic:spPr>
                    <a:xfrm>
                      <a:off x="0" y="0"/>
                      <a:ext cx="5760720" cy="4836160"/>
                    </a:xfrm>
                    <a:prstGeom prst="rect">
                      <a:avLst/>
                    </a:prstGeom>
                  </pic:spPr>
                </pic:pic>
              </a:graphicData>
            </a:graphic>
          </wp:inline>
        </w:drawing>
      </w:r>
    </w:p>
    <w:p w14:paraId="52F53AD5" w14:textId="77777777" w:rsidR="0094287F" w:rsidRDefault="0094287F" w:rsidP="0094287F">
      <w:pPr>
        <w:spacing w:after="0"/>
        <w:rPr>
          <w:b/>
          <w:bCs/>
          <w:lang w:val="en-GB"/>
        </w:rPr>
      </w:pPr>
    </w:p>
    <w:p w14:paraId="16C1F0B0" w14:textId="24CA199E" w:rsidR="0094287F" w:rsidRDefault="0094287F" w:rsidP="0094287F">
      <w:pPr>
        <w:spacing w:after="0"/>
        <w:rPr>
          <w:b/>
          <w:bCs/>
          <w:lang w:val="en-GB"/>
        </w:rPr>
      </w:pPr>
      <w:r w:rsidRPr="0094287F">
        <w:rPr>
          <w:b/>
          <w:bCs/>
          <w:lang w:val="en-GB"/>
        </w:rPr>
        <w:lastRenderedPageBreak/>
        <w:drawing>
          <wp:inline distT="0" distB="0" distL="0" distR="0" wp14:anchorId="7845781E" wp14:editId="32766CA6">
            <wp:extent cx="5760720" cy="4286250"/>
            <wp:effectExtent l="0" t="0" r="0" b="0"/>
            <wp:docPr id="8141677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167710" name=""/>
                    <pic:cNvPicPr/>
                  </pic:nvPicPr>
                  <pic:blipFill>
                    <a:blip r:embed="rId13"/>
                    <a:stretch>
                      <a:fillRect/>
                    </a:stretch>
                  </pic:blipFill>
                  <pic:spPr>
                    <a:xfrm>
                      <a:off x="0" y="0"/>
                      <a:ext cx="5760720" cy="4286250"/>
                    </a:xfrm>
                    <a:prstGeom prst="rect">
                      <a:avLst/>
                    </a:prstGeom>
                  </pic:spPr>
                </pic:pic>
              </a:graphicData>
            </a:graphic>
          </wp:inline>
        </w:drawing>
      </w:r>
    </w:p>
    <w:p w14:paraId="311FA65E" w14:textId="77777777" w:rsidR="0094287F" w:rsidRDefault="0094287F" w:rsidP="0094287F">
      <w:pPr>
        <w:spacing w:after="0"/>
        <w:rPr>
          <w:b/>
          <w:bCs/>
          <w:lang w:val="en-GB"/>
        </w:rPr>
      </w:pPr>
    </w:p>
    <w:p w14:paraId="4E321F40" w14:textId="0432EFA1" w:rsidR="00527237" w:rsidRPr="004B6FF4" w:rsidRDefault="00527237" w:rsidP="0094287F">
      <w:pPr>
        <w:spacing w:after="0"/>
        <w:rPr>
          <w:b/>
          <w:bCs/>
          <w:lang w:val="en-GB"/>
        </w:rPr>
      </w:pPr>
      <w:r w:rsidRPr="004B6FF4">
        <w:rPr>
          <w:b/>
          <w:bCs/>
          <w:lang w:val="en-GB"/>
        </w:rPr>
        <w:t>Results and Interpretation</w:t>
      </w:r>
    </w:p>
    <w:p w14:paraId="73E5C9F7" w14:textId="77777777" w:rsidR="00527237" w:rsidRPr="00527237" w:rsidRDefault="00527237" w:rsidP="0094287F">
      <w:pPr>
        <w:spacing w:after="0"/>
        <w:rPr>
          <w:lang w:val="en-GB"/>
        </w:rPr>
      </w:pPr>
    </w:p>
    <w:p w14:paraId="51820243" w14:textId="2BC9271C" w:rsidR="00527237" w:rsidRPr="00527237" w:rsidRDefault="00527237" w:rsidP="0094287F">
      <w:pPr>
        <w:spacing w:after="0"/>
        <w:rPr>
          <w:lang w:val="en-GB"/>
        </w:rPr>
      </w:pPr>
      <w:r w:rsidRPr="00527237">
        <w:rPr>
          <w:lang w:val="en-GB"/>
        </w:rPr>
        <w:t>The comparative analysis showed no deviation between na</w:t>
      </w:r>
      <w:r w:rsidR="00764392">
        <w:rPr>
          <w:lang w:val="en-GB"/>
        </w:rPr>
        <w:t>i</w:t>
      </w:r>
      <w:r w:rsidRPr="00527237">
        <w:rPr>
          <w:lang w:val="en-GB"/>
        </w:rPr>
        <w:t>ve and COCO rankings.</w:t>
      </w:r>
    </w:p>
    <w:p w14:paraId="039DB629" w14:textId="77777777" w:rsidR="00527237" w:rsidRDefault="00527237" w:rsidP="0094287F">
      <w:pPr>
        <w:spacing w:after="0"/>
        <w:rPr>
          <w:lang w:val="en-GB"/>
        </w:rPr>
      </w:pPr>
      <w:r w:rsidRPr="00527237">
        <w:rPr>
          <w:lang w:val="en-GB"/>
        </w:rPr>
        <w:t>This outcome validates both the robustness and neutrality of the automated method.</w:t>
      </w:r>
    </w:p>
    <w:p w14:paraId="6B4C8DD7" w14:textId="77777777" w:rsidR="0094287F" w:rsidRDefault="0094287F" w:rsidP="0094287F">
      <w:pPr>
        <w:spacing w:after="0"/>
        <w:rPr>
          <w:lang w:val="en-GB"/>
        </w:rPr>
      </w:pPr>
    </w:p>
    <w:p w14:paraId="44B24466" w14:textId="645B741F" w:rsidR="0094287F" w:rsidRPr="00527237" w:rsidRDefault="0094287F" w:rsidP="0094287F">
      <w:pPr>
        <w:spacing w:after="0"/>
        <w:rPr>
          <w:lang w:val="en-GB"/>
        </w:rPr>
      </w:pPr>
      <w:r w:rsidRPr="0094287F">
        <w:rPr>
          <w:lang w:val="en-GB"/>
        </w:rPr>
        <w:t xml:space="preserve">This specific case study result is only one possible outcome of the methodological combinatorial space, in which, in addition to normality, </w:t>
      </w:r>
      <w:proofErr w:type="spellStart"/>
      <w:r w:rsidRPr="0094287F">
        <w:rPr>
          <w:lang w:val="en-GB"/>
        </w:rPr>
        <w:t>subnormality</w:t>
      </w:r>
      <w:proofErr w:type="spellEnd"/>
      <w:r w:rsidRPr="0094287F">
        <w:rPr>
          <w:lang w:val="en-GB"/>
        </w:rPr>
        <w:t>, supernormality, and non-</w:t>
      </w:r>
      <w:proofErr w:type="spellStart"/>
      <w:r w:rsidRPr="0094287F">
        <w:rPr>
          <w:lang w:val="en-GB"/>
        </w:rPr>
        <w:t>classifiability</w:t>
      </w:r>
      <w:proofErr w:type="spellEnd"/>
      <w:r w:rsidRPr="0094287F">
        <w:rPr>
          <w:lang w:val="en-GB"/>
        </w:rPr>
        <w:t xml:space="preserve"> are also possible for each object.</w:t>
      </w:r>
    </w:p>
    <w:p w14:paraId="5461F2FF" w14:textId="77777777" w:rsidR="00527237" w:rsidRPr="00527237" w:rsidRDefault="00527237" w:rsidP="0094287F">
      <w:pPr>
        <w:spacing w:after="0"/>
        <w:rPr>
          <w:lang w:val="en-GB"/>
        </w:rPr>
      </w:pPr>
    </w:p>
    <w:p w14:paraId="4CB41201" w14:textId="77777777" w:rsidR="00527237" w:rsidRPr="0094287F" w:rsidRDefault="00527237" w:rsidP="0094287F">
      <w:pPr>
        <w:spacing w:after="0"/>
        <w:rPr>
          <w:b/>
          <w:bCs/>
          <w:lang w:val="en-GB"/>
        </w:rPr>
      </w:pPr>
      <w:r w:rsidRPr="0094287F">
        <w:rPr>
          <w:b/>
          <w:bCs/>
          <w:lang w:val="en-GB"/>
        </w:rPr>
        <w:t>Key insights:</w:t>
      </w:r>
    </w:p>
    <w:p w14:paraId="74742A54" w14:textId="77777777" w:rsidR="00527237" w:rsidRPr="00527237" w:rsidRDefault="00527237" w:rsidP="0094287F">
      <w:pPr>
        <w:spacing w:after="0"/>
        <w:rPr>
          <w:lang w:val="en-GB"/>
        </w:rPr>
      </w:pPr>
      <w:r w:rsidRPr="00527237">
        <w:rPr>
          <w:lang w:val="en-GB"/>
        </w:rPr>
        <w:t>No industrial or digitalization bias was observed.</w:t>
      </w:r>
    </w:p>
    <w:p w14:paraId="2788CFA7" w14:textId="77777777" w:rsidR="00527237" w:rsidRPr="00527237" w:rsidRDefault="00527237" w:rsidP="0094287F">
      <w:pPr>
        <w:spacing w:after="0"/>
        <w:rPr>
          <w:lang w:val="en-GB"/>
        </w:rPr>
      </w:pPr>
    </w:p>
    <w:p w14:paraId="46930C50" w14:textId="70576713" w:rsidR="00527237" w:rsidRPr="00527237" w:rsidRDefault="00527237" w:rsidP="0094287F">
      <w:pPr>
        <w:spacing w:after="0"/>
        <w:rPr>
          <w:lang w:val="en-GB"/>
        </w:rPr>
      </w:pPr>
      <w:r w:rsidRPr="00527237">
        <w:rPr>
          <w:lang w:val="en-GB"/>
        </w:rPr>
        <w:t>The correlation between na</w:t>
      </w:r>
      <w:r w:rsidR="00764392">
        <w:rPr>
          <w:lang w:val="en-GB"/>
        </w:rPr>
        <w:t>i</w:t>
      </w:r>
      <w:r w:rsidRPr="00527237">
        <w:rPr>
          <w:lang w:val="en-GB"/>
        </w:rPr>
        <w:t>ve and optimized rankings exceeded 0.95, confirming near-perfect structural consistency.</w:t>
      </w:r>
    </w:p>
    <w:p w14:paraId="124C4051" w14:textId="77777777" w:rsidR="00527237" w:rsidRPr="00527237" w:rsidRDefault="00527237" w:rsidP="0094287F">
      <w:pPr>
        <w:spacing w:after="0"/>
        <w:rPr>
          <w:lang w:val="en-GB"/>
        </w:rPr>
      </w:pPr>
    </w:p>
    <w:p w14:paraId="124C2272" w14:textId="77777777" w:rsidR="00527237" w:rsidRPr="00527237" w:rsidRDefault="00527237" w:rsidP="0094287F">
      <w:pPr>
        <w:spacing w:after="0"/>
        <w:rPr>
          <w:lang w:val="en-GB"/>
        </w:rPr>
      </w:pPr>
      <w:r w:rsidRPr="00527237">
        <w:rPr>
          <w:lang w:val="en-GB"/>
        </w:rPr>
        <w:t>The heat-map visualization made company strengths and weaknesses immediately visible for all ten attributes.</w:t>
      </w:r>
    </w:p>
    <w:p w14:paraId="0DD219AD" w14:textId="77777777" w:rsidR="00527237" w:rsidRPr="00527237" w:rsidRDefault="00527237" w:rsidP="0094287F">
      <w:pPr>
        <w:spacing w:after="0"/>
        <w:rPr>
          <w:lang w:val="en-GB"/>
        </w:rPr>
      </w:pPr>
    </w:p>
    <w:p w14:paraId="599377E2" w14:textId="502FC668" w:rsidR="00527237" w:rsidRDefault="00527237" w:rsidP="0094287F">
      <w:pPr>
        <w:spacing w:after="0"/>
        <w:rPr>
          <w:lang w:val="en-GB"/>
        </w:rPr>
      </w:pPr>
      <w:r w:rsidRPr="00527237">
        <w:rPr>
          <w:lang w:val="en-GB"/>
        </w:rPr>
        <w:t>Hence, the COCO-based framework successfully provides objectivity without complexity, proving that corporate circular performance can be evaluated uniformly, irrespective of sector, scale, or data origin.</w:t>
      </w:r>
    </w:p>
    <w:p w14:paraId="0BE7D828" w14:textId="77777777" w:rsidR="004B6FF4" w:rsidRDefault="004B6FF4" w:rsidP="0094287F">
      <w:pPr>
        <w:spacing w:after="0"/>
        <w:rPr>
          <w:lang w:val="en-GB"/>
        </w:rPr>
      </w:pPr>
    </w:p>
    <w:p w14:paraId="24BC7009" w14:textId="77777777" w:rsidR="0094287F" w:rsidRDefault="0094287F" w:rsidP="0094287F">
      <w:pPr>
        <w:spacing w:after="0"/>
        <w:rPr>
          <w:b/>
          <w:bCs/>
          <w:lang w:val="en-GB"/>
        </w:rPr>
      </w:pPr>
    </w:p>
    <w:p w14:paraId="0DD7A43B" w14:textId="77777777" w:rsidR="0094287F" w:rsidRDefault="0094287F" w:rsidP="0094287F">
      <w:pPr>
        <w:spacing w:after="0"/>
        <w:rPr>
          <w:b/>
          <w:bCs/>
          <w:lang w:val="en-GB"/>
        </w:rPr>
      </w:pPr>
    </w:p>
    <w:p w14:paraId="14FF0A02" w14:textId="77777777" w:rsidR="0094287F" w:rsidRDefault="0094287F" w:rsidP="0094287F">
      <w:pPr>
        <w:spacing w:after="0"/>
        <w:rPr>
          <w:b/>
          <w:bCs/>
          <w:lang w:val="en-GB"/>
        </w:rPr>
      </w:pPr>
    </w:p>
    <w:p w14:paraId="4506BD37" w14:textId="24C42CFF" w:rsidR="004B6FF4" w:rsidRPr="004B6FF4" w:rsidRDefault="004B6FF4" w:rsidP="0094287F">
      <w:pPr>
        <w:spacing w:after="0"/>
        <w:rPr>
          <w:b/>
          <w:bCs/>
          <w:lang w:val="en-GB"/>
        </w:rPr>
      </w:pPr>
      <w:r w:rsidRPr="004B6FF4">
        <w:rPr>
          <w:b/>
          <w:bCs/>
          <w:lang w:val="en-GB"/>
        </w:rPr>
        <w:lastRenderedPageBreak/>
        <w:t>Discussion</w:t>
      </w:r>
    </w:p>
    <w:p w14:paraId="2E95BEF3" w14:textId="77777777" w:rsidR="004B6FF4" w:rsidRPr="004B6FF4" w:rsidRDefault="004B6FF4" w:rsidP="0094287F">
      <w:pPr>
        <w:spacing w:after="0"/>
        <w:rPr>
          <w:lang w:val="en-GB"/>
        </w:rPr>
      </w:pPr>
    </w:p>
    <w:p w14:paraId="41CB2D32" w14:textId="77777777" w:rsidR="004B6FF4" w:rsidRPr="004B6FF4" w:rsidRDefault="004B6FF4" w:rsidP="0094287F">
      <w:pPr>
        <w:spacing w:after="0"/>
        <w:rPr>
          <w:lang w:val="en-GB"/>
        </w:rPr>
      </w:pPr>
      <w:r w:rsidRPr="004B6FF4">
        <w:rPr>
          <w:lang w:val="en-GB"/>
        </w:rPr>
        <w:t>The observed alignment between manual and AI-based assessments challenges the assumption that human weighting improves evaluation accuracy.</w:t>
      </w:r>
    </w:p>
    <w:p w14:paraId="2A91A47E" w14:textId="5B91A9C3" w:rsidR="004B6FF4" w:rsidRPr="004B6FF4" w:rsidRDefault="004B6FF4" w:rsidP="0094287F">
      <w:pPr>
        <w:spacing w:after="0"/>
        <w:rPr>
          <w:lang w:val="en-GB"/>
        </w:rPr>
      </w:pPr>
      <w:r w:rsidRPr="004B6FF4">
        <w:rPr>
          <w:lang w:val="en-GB"/>
        </w:rPr>
        <w:t>Instead, anti-discriminative AI frameworks like COCO demonstrate that objective evaluation can emerge from purely mathematical procedures</w:t>
      </w:r>
      <w:r w:rsidR="0094287F">
        <w:rPr>
          <w:lang w:val="en-GB"/>
        </w:rPr>
        <w:t xml:space="preserve"> </w:t>
      </w:r>
      <w:r w:rsidRPr="004B6FF4">
        <w:rPr>
          <w:lang w:val="en-GB"/>
        </w:rPr>
        <w:t>without intuitive adjustments.</w:t>
      </w:r>
    </w:p>
    <w:p w14:paraId="30603AA2" w14:textId="77777777" w:rsidR="004B6FF4" w:rsidRPr="004B6FF4" w:rsidRDefault="004B6FF4" w:rsidP="0094287F">
      <w:pPr>
        <w:spacing w:after="0"/>
        <w:rPr>
          <w:lang w:val="en-GB"/>
        </w:rPr>
      </w:pPr>
    </w:p>
    <w:p w14:paraId="76B62FEA" w14:textId="3438EE43" w:rsidR="004B6FF4" w:rsidRPr="004B6FF4" w:rsidRDefault="004B6FF4" w:rsidP="0094287F">
      <w:pPr>
        <w:spacing w:after="0"/>
        <w:rPr>
          <w:lang w:val="en-GB"/>
        </w:rPr>
      </w:pPr>
      <w:r w:rsidRPr="004B6FF4">
        <w:rPr>
          <w:lang w:val="en-GB"/>
        </w:rPr>
        <w:t xml:space="preserve">In this sense, the model replicates the structure of traditional ESG </w:t>
      </w:r>
      <w:r w:rsidR="000A6455">
        <w:rPr>
          <w:lang w:val="en-GB"/>
        </w:rPr>
        <w:t xml:space="preserve">/ financial </w:t>
      </w:r>
      <w:r w:rsidRPr="004B6FF4">
        <w:rPr>
          <w:lang w:val="en-GB"/>
        </w:rPr>
        <w:t>evaluation but replaces human judgment with algorithmic consistency.</w:t>
      </w:r>
    </w:p>
    <w:p w14:paraId="465926C2" w14:textId="77777777" w:rsidR="004B6FF4" w:rsidRPr="004B6FF4" w:rsidRDefault="004B6FF4" w:rsidP="0094287F">
      <w:pPr>
        <w:spacing w:after="0"/>
        <w:rPr>
          <w:lang w:val="en-GB"/>
        </w:rPr>
      </w:pPr>
      <w:r w:rsidRPr="004B6FF4">
        <w:rPr>
          <w:lang w:val="en-GB"/>
        </w:rPr>
        <w:t>This has two major implications:</w:t>
      </w:r>
    </w:p>
    <w:p w14:paraId="6530B8F7" w14:textId="77777777" w:rsidR="004B6FF4" w:rsidRPr="004B6FF4" w:rsidRDefault="004B6FF4" w:rsidP="0094287F">
      <w:pPr>
        <w:spacing w:after="0"/>
        <w:rPr>
          <w:lang w:val="en-GB"/>
        </w:rPr>
      </w:pPr>
    </w:p>
    <w:p w14:paraId="1934C96E" w14:textId="77777777" w:rsidR="004B6FF4" w:rsidRPr="004B6FF4" w:rsidRDefault="004B6FF4" w:rsidP="0094287F">
      <w:pPr>
        <w:spacing w:after="0"/>
        <w:rPr>
          <w:lang w:val="en-GB"/>
        </w:rPr>
      </w:pPr>
      <w:r w:rsidRPr="004B6FF4">
        <w:rPr>
          <w:lang w:val="en-GB"/>
        </w:rPr>
        <w:t>Transparency: All parameters are visible, reproducible, and comparable.</w:t>
      </w:r>
    </w:p>
    <w:p w14:paraId="19203171" w14:textId="77777777" w:rsidR="004B6FF4" w:rsidRPr="004B6FF4" w:rsidRDefault="004B6FF4" w:rsidP="0094287F">
      <w:pPr>
        <w:spacing w:after="0"/>
        <w:rPr>
          <w:lang w:val="en-GB"/>
        </w:rPr>
      </w:pPr>
    </w:p>
    <w:p w14:paraId="03158389" w14:textId="77777777" w:rsidR="004B6FF4" w:rsidRPr="004B6FF4" w:rsidRDefault="004B6FF4" w:rsidP="0094287F">
      <w:pPr>
        <w:spacing w:after="0"/>
        <w:rPr>
          <w:lang w:val="en-GB"/>
        </w:rPr>
      </w:pPr>
      <w:r w:rsidRPr="004B6FF4">
        <w:rPr>
          <w:lang w:val="en-GB"/>
        </w:rPr>
        <w:t>Scalability: The same logic can be applied to hundreds or thousands of corporations simultaneously.</w:t>
      </w:r>
    </w:p>
    <w:p w14:paraId="6B63DD2F" w14:textId="77777777" w:rsidR="004B6FF4" w:rsidRPr="004B6FF4" w:rsidRDefault="004B6FF4" w:rsidP="0094287F">
      <w:pPr>
        <w:spacing w:after="0"/>
        <w:rPr>
          <w:lang w:val="en-GB"/>
        </w:rPr>
      </w:pPr>
    </w:p>
    <w:p w14:paraId="64B2CA27" w14:textId="712939AD" w:rsidR="004B6FF4" w:rsidRDefault="004B6FF4" w:rsidP="0094287F">
      <w:pPr>
        <w:spacing w:after="0"/>
        <w:rPr>
          <w:lang w:val="en-GB"/>
        </w:rPr>
      </w:pPr>
      <w:r w:rsidRPr="004B6FF4">
        <w:rPr>
          <w:lang w:val="en-GB"/>
        </w:rPr>
        <w:t>Thus, the COCO approach represents a methodological bridge between statistical AI analysis and practical sustainability benchmarking.</w:t>
      </w:r>
    </w:p>
    <w:p w14:paraId="66A7381E" w14:textId="77777777" w:rsidR="004B6FF4" w:rsidRDefault="004B6FF4" w:rsidP="0094287F">
      <w:pPr>
        <w:spacing w:after="0"/>
        <w:rPr>
          <w:lang w:val="en-GB"/>
        </w:rPr>
      </w:pPr>
    </w:p>
    <w:p w14:paraId="0A5A1F76" w14:textId="77777777" w:rsidR="004B6FF4" w:rsidRPr="004B6FF4" w:rsidRDefault="004B6FF4" w:rsidP="0094287F">
      <w:pPr>
        <w:spacing w:after="0"/>
        <w:rPr>
          <w:b/>
          <w:bCs/>
          <w:lang w:val="en-GB"/>
        </w:rPr>
      </w:pPr>
      <w:r w:rsidRPr="004B6FF4">
        <w:rPr>
          <w:b/>
          <w:bCs/>
          <w:lang w:val="en-GB"/>
        </w:rPr>
        <w:t>Conclusions</w:t>
      </w:r>
    </w:p>
    <w:p w14:paraId="3E75AAF7" w14:textId="77777777" w:rsidR="004B6FF4" w:rsidRPr="004B6FF4" w:rsidRDefault="004B6FF4" w:rsidP="0094287F">
      <w:pPr>
        <w:spacing w:after="0"/>
        <w:rPr>
          <w:lang w:val="en-GB"/>
        </w:rPr>
      </w:pPr>
    </w:p>
    <w:p w14:paraId="432C88F1" w14:textId="77777777" w:rsidR="004B6FF4" w:rsidRPr="004B6FF4" w:rsidRDefault="004B6FF4" w:rsidP="0094287F">
      <w:pPr>
        <w:spacing w:after="0"/>
        <w:rPr>
          <w:lang w:val="en-GB"/>
        </w:rPr>
      </w:pPr>
      <w:r w:rsidRPr="004B6FF4">
        <w:rPr>
          <w:lang w:val="en-GB"/>
        </w:rPr>
        <w:t>Objectivity in circular economy assessment is achievable through AI-supported automation.</w:t>
      </w:r>
    </w:p>
    <w:p w14:paraId="1E8E5CC5" w14:textId="77777777" w:rsidR="004B6FF4" w:rsidRPr="004B6FF4" w:rsidRDefault="004B6FF4" w:rsidP="0094287F">
      <w:pPr>
        <w:spacing w:after="0"/>
        <w:rPr>
          <w:lang w:val="en-GB"/>
        </w:rPr>
      </w:pPr>
    </w:p>
    <w:p w14:paraId="5689B586" w14:textId="77777777" w:rsidR="004B6FF4" w:rsidRPr="004B6FF4" w:rsidRDefault="004B6FF4" w:rsidP="0094287F">
      <w:pPr>
        <w:spacing w:after="0"/>
        <w:rPr>
          <w:lang w:val="en-GB"/>
        </w:rPr>
      </w:pPr>
      <w:r w:rsidRPr="004B6FF4">
        <w:rPr>
          <w:lang w:val="en-GB"/>
        </w:rPr>
        <w:t>The OAM + COCO framework removes human bias and allows identical evaluation rules for all companies.</w:t>
      </w:r>
    </w:p>
    <w:p w14:paraId="7C05CC37" w14:textId="77777777" w:rsidR="004B6FF4" w:rsidRPr="004B6FF4" w:rsidRDefault="004B6FF4" w:rsidP="0094287F">
      <w:pPr>
        <w:spacing w:after="0"/>
        <w:rPr>
          <w:lang w:val="en-GB"/>
        </w:rPr>
      </w:pPr>
    </w:p>
    <w:p w14:paraId="05784176" w14:textId="77777777" w:rsidR="004B6FF4" w:rsidRPr="004B6FF4" w:rsidRDefault="004B6FF4" w:rsidP="0094287F">
      <w:pPr>
        <w:spacing w:after="0"/>
        <w:rPr>
          <w:lang w:val="en-GB"/>
        </w:rPr>
      </w:pPr>
      <w:r w:rsidRPr="004B6FF4">
        <w:rPr>
          <w:lang w:val="en-GB"/>
        </w:rPr>
        <w:t>The method exhibits high reproducibility (rank correlation &gt; 0.95).</w:t>
      </w:r>
    </w:p>
    <w:p w14:paraId="7173F97F" w14:textId="77777777" w:rsidR="004B6FF4" w:rsidRPr="004B6FF4" w:rsidRDefault="004B6FF4" w:rsidP="0094287F">
      <w:pPr>
        <w:spacing w:after="0"/>
        <w:rPr>
          <w:lang w:val="en-GB"/>
        </w:rPr>
      </w:pPr>
    </w:p>
    <w:p w14:paraId="09376EBB" w14:textId="4F2B5462" w:rsidR="004B6FF4" w:rsidRPr="004B6FF4" w:rsidRDefault="004B6FF4" w:rsidP="0094287F">
      <w:pPr>
        <w:spacing w:after="0"/>
        <w:rPr>
          <w:lang w:val="en-GB"/>
        </w:rPr>
      </w:pPr>
      <w:r w:rsidRPr="004B6FF4">
        <w:rPr>
          <w:lang w:val="en-GB"/>
        </w:rPr>
        <w:t>This structure can form the foundation for AI-driven ESG</w:t>
      </w:r>
      <w:r w:rsidR="0094287F">
        <w:rPr>
          <w:lang w:val="en-GB"/>
        </w:rPr>
        <w:t xml:space="preserve"> / financial</w:t>
      </w:r>
      <w:r w:rsidRPr="004B6FF4">
        <w:rPr>
          <w:lang w:val="en-GB"/>
        </w:rPr>
        <w:t xml:space="preserve"> rating standardization.</w:t>
      </w:r>
    </w:p>
    <w:p w14:paraId="2E9FBD7F" w14:textId="77777777" w:rsidR="004B6FF4" w:rsidRPr="004B6FF4" w:rsidRDefault="004B6FF4" w:rsidP="0094287F">
      <w:pPr>
        <w:spacing w:after="0"/>
        <w:rPr>
          <w:lang w:val="en-GB"/>
        </w:rPr>
      </w:pPr>
    </w:p>
    <w:p w14:paraId="0E49A4AE" w14:textId="22B0E30F" w:rsidR="004B6FF4" w:rsidRPr="003B71A8" w:rsidRDefault="004B6FF4" w:rsidP="0094287F">
      <w:pPr>
        <w:spacing w:after="0"/>
        <w:rPr>
          <w:lang w:val="en-GB"/>
        </w:rPr>
      </w:pPr>
      <w:r w:rsidRPr="004B6FF4">
        <w:rPr>
          <w:lang w:val="en-GB"/>
        </w:rPr>
        <w:t>Although corporate operations differ in circular maturity, objective comparability is now technically feasible</w:t>
      </w:r>
      <w:r w:rsidR="00D444B1">
        <w:rPr>
          <w:lang w:val="en-GB"/>
        </w:rPr>
        <w:t xml:space="preserve">, </w:t>
      </w:r>
      <w:r w:rsidRPr="004B6FF4">
        <w:rPr>
          <w:lang w:val="en-GB"/>
        </w:rPr>
        <w:t>making it possible to evaluate all companies within one unbiased analytical framework.</w:t>
      </w:r>
    </w:p>
    <w:p w14:paraId="18BE01D8" w14:textId="77777777" w:rsidR="004B6FF4" w:rsidRDefault="004B6FF4" w:rsidP="0094287F">
      <w:pPr>
        <w:spacing w:after="0"/>
        <w:rPr>
          <w:lang w:val="en-GB"/>
        </w:rPr>
      </w:pPr>
    </w:p>
    <w:p w14:paraId="09E6F803" w14:textId="0229CD84" w:rsidR="003B71A8" w:rsidRPr="003B71A8" w:rsidRDefault="003B71A8" w:rsidP="0094287F">
      <w:pPr>
        <w:spacing w:after="0"/>
        <w:rPr>
          <w:lang w:val="en-GB"/>
        </w:rPr>
      </w:pPr>
      <w:r w:rsidRPr="003B71A8">
        <w:rPr>
          <w:lang w:val="en-GB"/>
        </w:rPr>
        <w:t>Future</w:t>
      </w:r>
    </w:p>
    <w:p w14:paraId="3C10BCD6" w14:textId="343A947B" w:rsidR="004B6FF4" w:rsidRPr="004B6FF4" w:rsidRDefault="004B6FF4" w:rsidP="0094287F">
      <w:pPr>
        <w:pStyle w:val="ListParagraph"/>
        <w:numPr>
          <w:ilvl w:val="0"/>
          <w:numId w:val="6"/>
        </w:numPr>
        <w:spacing w:after="0"/>
        <w:rPr>
          <w:lang w:val="en-GB"/>
        </w:rPr>
      </w:pPr>
      <w:r w:rsidRPr="004B6FF4">
        <w:rPr>
          <w:lang w:val="en-GB"/>
        </w:rPr>
        <w:t>Extend the OAM dataset to 1</w:t>
      </w:r>
      <w:r w:rsidR="0094287F">
        <w:rPr>
          <w:lang w:val="en-GB"/>
        </w:rPr>
        <w:t>5</w:t>
      </w:r>
      <w:r w:rsidRPr="004B6FF4">
        <w:rPr>
          <w:lang w:val="en-GB"/>
        </w:rPr>
        <w:t>+ corporations from multiple sectors.</w:t>
      </w:r>
    </w:p>
    <w:p w14:paraId="2558364E" w14:textId="0D3E0FDD" w:rsidR="004B6FF4" w:rsidRPr="004B6FF4" w:rsidRDefault="004B6FF4" w:rsidP="0094287F">
      <w:pPr>
        <w:pStyle w:val="ListParagraph"/>
        <w:numPr>
          <w:ilvl w:val="0"/>
          <w:numId w:val="6"/>
        </w:numPr>
        <w:spacing w:after="0"/>
        <w:rPr>
          <w:lang w:val="en-GB"/>
        </w:rPr>
      </w:pPr>
      <w:r w:rsidRPr="004B6FF4">
        <w:rPr>
          <w:lang w:val="en-GB"/>
        </w:rPr>
        <w:t>Integrate real-time sustainability data APIs.</w:t>
      </w:r>
    </w:p>
    <w:p w14:paraId="5260C61D" w14:textId="77777777" w:rsidR="004B6FF4" w:rsidRDefault="004B6FF4" w:rsidP="0094287F">
      <w:pPr>
        <w:spacing w:after="0"/>
        <w:rPr>
          <w:lang w:val="en-GB"/>
        </w:rPr>
      </w:pPr>
    </w:p>
    <w:p w14:paraId="5E6CFC6F" w14:textId="77777777" w:rsidR="00D444B1" w:rsidRDefault="00D444B1" w:rsidP="0094287F">
      <w:pPr>
        <w:spacing w:after="0"/>
        <w:rPr>
          <w:b/>
          <w:bCs/>
          <w:lang w:val="en-GB"/>
        </w:rPr>
      </w:pPr>
    </w:p>
    <w:p w14:paraId="33A54D61" w14:textId="77038E0A" w:rsidR="003B71A8" w:rsidRPr="003B71A8" w:rsidRDefault="003B71A8" w:rsidP="0094287F">
      <w:pPr>
        <w:spacing w:after="0"/>
        <w:rPr>
          <w:b/>
          <w:bCs/>
          <w:lang w:val="en-GB"/>
        </w:rPr>
      </w:pPr>
      <w:r w:rsidRPr="003B71A8">
        <w:rPr>
          <w:b/>
          <w:bCs/>
          <w:lang w:val="en-GB"/>
        </w:rPr>
        <w:t>References</w:t>
      </w:r>
    </w:p>
    <w:p w14:paraId="69DC9977" w14:textId="470C725F" w:rsidR="003D028C" w:rsidRDefault="0094287F" w:rsidP="0094287F">
      <w:pPr>
        <w:spacing w:after="0"/>
        <w:rPr>
          <w:lang w:val="en-GB"/>
        </w:rPr>
      </w:pPr>
      <w:r>
        <w:rPr>
          <w:lang w:val="en-GB"/>
        </w:rPr>
        <w:t>ChatGPT</w:t>
      </w:r>
    </w:p>
    <w:p w14:paraId="183DC446" w14:textId="7A6A9739" w:rsidR="0094287F" w:rsidRDefault="0094287F" w:rsidP="0094287F">
      <w:pPr>
        <w:spacing w:after="0"/>
        <w:rPr>
          <w:lang w:val="en-GB"/>
        </w:rPr>
      </w:pPr>
      <w:hyperlink r:id="rId14" w:history="1">
        <w:r w:rsidRPr="00DE4C99">
          <w:rPr>
            <w:rStyle w:val="Hyperlink"/>
            <w:lang w:val="en-GB"/>
          </w:rPr>
          <w:t>https://miau.my-x.hu/myx-free/coco/</w:t>
        </w:r>
      </w:hyperlink>
    </w:p>
    <w:p w14:paraId="22E8BDAD" w14:textId="7F3D87E9" w:rsidR="0094287F" w:rsidRDefault="0094287F" w:rsidP="0094287F">
      <w:pPr>
        <w:spacing w:after="0"/>
        <w:rPr>
          <w:lang w:val="en-GB"/>
        </w:rPr>
      </w:pPr>
      <w:hyperlink r:id="rId15" w:history="1">
        <w:r w:rsidRPr="00DE4C99">
          <w:rPr>
            <w:rStyle w:val="Hyperlink"/>
            <w:lang w:val="en-GB"/>
          </w:rPr>
          <w:t>https://miau.my-x.hu/miau2009/index.php3?x=e0&amp;string=statistical.neurons</w:t>
        </w:r>
      </w:hyperlink>
    </w:p>
    <w:p w14:paraId="2E15561F" w14:textId="77777777" w:rsidR="0094287F" w:rsidRDefault="0094287F">
      <w:pPr>
        <w:rPr>
          <w:lang w:val="en-GB"/>
        </w:rPr>
      </w:pPr>
    </w:p>
    <w:p w14:paraId="00A348AE" w14:textId="77777777" w:rsidR="0094287F" w:rsidRPr="003B71A8" w:rsidRDefault="0094287F">
      <w:pPr>
        <w:rPr>
          <w:lang w:val="en-GB"/>
        </w:rPr>
      </w:pPr>
    </w:p>
    <w:sectPr w:rsidR="0094287F" w:rsidRPr="003B71A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040A"/>
    <w:multiLevelType w:val="hybridMultilevel"/>
    <w:tmpl w:val="4E7673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08052A1"/>
    <w:multiLevelType w:val="hybridMultilevel"/>
    <w:tmpl w:val="F2D226FA"/>
    <w:lvl w:ilvl="0" w:tplc="1354F7BE">
      <w:start w:val="9"/>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23C41E2"/>
    <w:multiLevelType w:val="hybridMultilevel"/>
    <w:tmpl w:val="68E22C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41F7088"/>
    <w:multiLevelType w:val="hybridMultilevel"/>
    <w:tmpl w:val="D98EAEE4"/>
    <w:lvl w:ilvl="0" w:tplc="FFFFFFF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62726E38"/>
    <w:multiLevelType w:val="hybridMultilevel"/>
    <w:tmpl w:val="694050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799F0A90"/>
    <w:multiLevelType w:val="hybridMultilevel"/>
    <w:tmpl w:val="708E8CAC"/>
    <w:lvl w:ilvl="0" w:tplc="9DD0DEDE">
      <w:start w:val="9"/>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E5D7B31"/>
    <w:multiLevelType w:val="hybridMultilevel"/>
    <w:tmpl w:val="694050E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2003847565">
    <w:abstractNumId w:val="2"/>
    <w:lvlOverride w:ilvl="0"/>
    <w:lvlOverride w:ilvl="1"/>
    <w:lvlOverride w:ilvl="2"/>
    <w:lvlOverride w:ilvl="3"/>
    <w:lvlOverride w:ilvl="4"/>
    <w:lvlOverride w:ilvl="5"/>
    <w:lvlOverride w:ilvl="6"/>
    <w:lvlOverride w:ilvl="7"/>
    <w:lvlOverride w:ilvl="8"/>
  </w:num>
  <w:num w:numId="2" w16cid:durableId="15594368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48769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410531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99427997">
    <w:abstractNumId w:val="0"/>
    <w:lvlOverride w:ilvl="0"/>
    <w:lvlOverride w:ilvl="1"/>
    <w:lvlOverride w:ilvl="2"/>
    <w:lvlOverride w:ilvl="3"/>
    <w:lvlOverride w:ilvl="4"/>
    <w:lvlOverride w:ilvl="5"/>
    <w:lvlOverride w:ilvl="6"/>
    <w:lvlOverride w:ilvl="7"/>
    <w:lvlOverride w:ilvl="8"/>
  </w:num>
  <w:num w:numId="6" w16cid:durableId="514930087">
    <w:abstractNumId w:val="1"/>
  </w:num>
  <w:num w:numId="7" w16cid:durableId="9343663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1A8"/>
    <w:rsid w:val="000A6455"/>
    <w:rsid w:val="002F723B"/>
    <w:rsid w:val="003B71A8"/>
    <w:rsid w:val="003D028C"/>
    <w:rsid w:val="004978EC"/>
    <w:rsid w:val="004B6FF4"/>
    <w:rsid w:val="00527237"/>
    <w:rsid w:val="00764392"/>
    <w:rsid w:val="007D0D4C"/>
    <w:rsid w:val="0094287F"/>
    <w:rsid w:val="00B16606"/>
    <w:rsid w:val="00D444B1"/>
    <w:rsid w:val="00E30C60"/>
    <w:rsid w:val="00F9051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A14FB"/>
  <w15:chartTrackingRefBased/>
  <w15:docId w15:val="{5AE3039C-945E-40FC-BEF7-79D1377F9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71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B71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B71A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B71A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B71A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B71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71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71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71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71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B71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B71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B71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B71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B71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71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71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71A8"/>
    <w:rPr>
      <w:rFonts w:eastAsiaTheme="majorEastAsia" w:cstheme="majorBidi"/>
      <w:color w:val="272727" w:themeColor="text1" w:themeTint="D8"/>
    </w:rPr>
  </w:style>
  <w:style w:type="paragraph" w:styleId="Title">
    <w:name w:val="Title"/>
    <w:basedOn w:val="Normal"/>
    <w:next w:val="Normal"/>
    <w:link w:val="TitleChar"/>
    <w:uiPriority w:val="10"/>
    <w:qFormat/>
    <w:rsid w:val="003B71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71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71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71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71A8"/>
    <w:pPr>
      <w:spacing w:before="160"/>
      <w:jc w:val="center"/>
    </w:pPr>
    <w:rPr>
      <w:i/>
      <w:iCs/>
      <w:color w:val="404040" w:themeColor="text1" w:themeTint="BF"/>
    </w:rPr>
  </w:style>
  <w:style w:type="character" w:customStyle="1" w:styleId="QuoteChar">
    <w:name w:val="Quote Char"/>
    <w:basedOn w:val="DefaultParagraphFont"/>
    <w:link w:val="Quote"/>
    <w:uiPriority w:val="29"/>
    <w:rsid w:val="003B71A8"/>
    <w:rPr>
      <w:i/>
      <w:iCs/>
      <w:color w:val="404040" w:themeColor="text1" w:themeTint="BF"/>
    </w:rPr>
  </w:style>
  <w:style w:type="paragraph" w:styleId="ListParagraph">
    <w:name w:val="List Paragraph"/>
    <w:basedOn w:val="Normal"/>
    <w:uiPriority w:val="34"/>
    <w:qFormat/>
    <w:rsid w:val="003B71A8"/>
    <w:pPr>
      <w:ind w:left="720"/>
      <w:contextualSpacing/>
    </w:pPr>
  </w:style>
  <w:style w:type="character" w:styleId="IntenseEmphasis">
    <w:name w:val="Intense Emphasis"/>
    <w:basedOn w:val="DefaultParagraphFont"/>
    <w:uiPriority w:val="21"/>
    <w:qFormat/>
    <w:rsid w:val="003B71A8"/>
    <w:rPr>
      <w:i/>
      <w:iCs/>
      <w:color w:val="2F5496" w:themeColor="accent1" w:themeShade="BF"/>
    </w:rPr>
  </w:style>
  <w:style w:type="paragraph" w:styleId="IntenseQuote">
    <w:name w:val="Intense Quote"/>
    <w:basedOn w:val="Normal"/>
    <w:next w:val="Normal"/>
    <w:link w:val="IntenseQuoteChar"/>
    <w:uiPriority w:val="30"/>
    <w:qFormat/>
    <w:rsid w:val="003B71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B71A8"/>
    <w:rPr>
      <w:i/>
      <w:iCs/>
      <w:color w:val="2F5496" w:themeColor="accent1" w:themeShade="BF"/>
    </w:rPr>
  </w:style>
  <w:style w:type="character" w:styleId="IntenseReference">
    <w:name w:val="Intense Reference"/>
    <w:basedOn w:val="DefaultParagraphFont"/>
    <w:uiPriority w:val="32"/>
    <w:qFormat/>
    <w:rsid w:val="003B71A8"/>
    <w:rPr>
      <w:b/>
      <w:bCs/>
      <w:smallCaps/>
      <w:color w:val="2F5496" w:themeColor="accent1" w:themeShade="BF"/>
      <w:spacing w:val="5"/>
    </w:rPr>
  </w:style>
  <w:style w:type="character" w:styleId="Hyperlink">
    <w:name w:val="Hyperlink"/>
    <w:basedOn w:val="DefaultParagraphFont"/>
    <w:uiPriority w:val="99"/>
    <w:unhideWhenUsed/>
    <w:rsid w:val="003B71A8"/>
    <w:rPr>
      <w:color w:val="0563C1" w:themeColor="hyperlink"/>
      <w:u w:val="single"/>
    </w:rPr>
  </w:style>
  <w:style w:type="character" w:styleId="UnresolvedMention">
    <w:name w:val="Unresolved Mention"/>
    <w:basedOn w:val="DefaultParagraphFont"/>
    <w:uiPriority w:val="99"/>
    <w:semiHidden/>
    <w:unhideWhenUsed/>
    <w:rsid w:val="003B71A8"/>
    <w:rPr>
      <w:color w:val="605E5C"/>
      <w:shd w:val="clear" w:color="auto" w:fill="E1DFDD"/>
    </w:rPr>
  </w:style>
  <w:style w:type="table" w:styleId="TableGrid">
    <w:name w:val="Table Grid"/>
    <w:basedOn w:val="TableNormal"/>
    <w:uiPriority w:val="39"/>
    <w:rsid w:val="00E30C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tlik@my-x.hu" TargetMode="Externa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yperlink" Target="mailto:laszlo.orosz86@gmail.com" TargetMode="Externa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orcid.org/0000-0001-5819-0319" TargetMode="External"/><Relationship Id="rId11" Type="http://schemas.openxmlformats.org/officeDocument/2006/relationships/image" Target="media/image3.png"/><Relationship Id="rId5" Type="http://schemas.openxmlformats.org/officeDocument/2006/relationships/hyperlink" Target="https://orcid.org/0009-0000-2683-8213" TargetMode="External"/><Relationship Id="rId15" Type="http://schemas.openxmlformats.org/officeDocument/2006/relationships/hyperlink" Target="https://miau.my-x.hu/miau2009/index.php3?x=e0&amp;string=statistical.neurons"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miau.my-x.hu/myx-free/coco/"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1109</Words>
  <Characters>6989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Laszlo Orosz</dc:creator>
  <cp:keywords/>
  <dc:description/>
  <cp:lastModifiedBy>Laszlo Orosz</cp:lastModifiedBy>
  <cp:revision>3</cp:revision>
  <dcterms:created xsi:type="dcterms:W3CDTF">2025-11-09T13:02:00Z</dcterms:created>
  <dcterms:modified xsi:type="dcterms:W3CDTF">2025-11-09T17:35:00Z</dcterms:modified>
</cp:coreProperties>
</file>