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65EC049" w:rsidP="383293B0" w:rsidRDefault="765EC049" w14:paraId="107DEB64" w14:textId="2861EEC1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215E99" w:themeColor="text2" w:themeTint="BF" w:themeShade="FF"/>
          <w:sz w:val="36"/>
          <w:szCs w:val="36"/>
          <w:u w:val="single"/>
          <w:lang w:val="hu-HU"/>
        </w:rPr>
      </w:pPr>
      <w:r w:rsidRPr="383293B0" w:rsidR="765EC049">
        <w:rPr>
          <w:rFonts w:ascii="Times New Roman" w:hAnsi="Times New Roman" w:eastAsia="Times New Roman" w:cs="Times New Roman"/>
          <w:b w:val="1"/>
          <w:bCs w:val="1"/>
          <w:noProof w:val="0"/>
          <w:color w:val="215E99" w:themeColor="text2" w:themeTint="BF" w:themeShade="FF"/>
          <w:sz w:val="36"/>
          <w:szCs w:val="36"/>
          <w:u w:val="single"/>
          <w:lang w:val="hu-HU"/>
        </w:rPr>
        <w:t>Kritikai és módszertani értékelés</w:t>
      </w:r>
    </w:p>
    <w:p w:rsidR="3C6B5B03" w:rsidP="383293B0" w:rsidRDefault="3C6B5B03" w14:paraId="65483CBF" w14:textId="408CBB3D">
      <w:pPr>
        <w:pStyle w:val="Heading4"/>
        <w:spacing w:before="0" w:beforeAutospacing="off" w:after="319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383293B0" w:rsidR="3C6B5B0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hu-HU"/>
        </w:rPr>
        <w:t>Készítette:</w:t>
      </w:r>
    </w:p>
    <w:p w:rsidR="3C6B5B03" w:rsidP="383293B0" w:rsidRDefault="3C6B5B03" w14:paraId="3C8CC171" w14:textId="008739EA">
      <w:pPr>
        <w:pStyle w:val="Heading4"/>
        <w:spacing w:before="0" w:beforeAutospacing="off" w:after="319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383293B0" w:rsidR="3C6B5B0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hu-HU"/>
        </w:rPr>
        <w:t>Molnár Gergely Áron</w:t>
      </w:r>
    </w:p>
    <w:p w:rsidR="3C6B5B03" w:rsidP="383293B0" w:rsidRDefault="3C6B5B03" w14:paraId="6B719B17" w14:textId="3F5603A7">
      <w:pPr>
        <w:pStyle w:val="Heading4"/>
        <w:spacing w:before="0" w:beforeAutospacing="off" w:after="319" w:afterAutospacing="off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hu-HU"/>
        </w:rPr>
      </w:pPr>
      <w:r w:rsidRPr="383293B0" w:rsidR="3C6B5B0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hu-HU"/>
        </w:rPr>
        <w:t>Neptun</w:t>
      </w:r>
      <w:r w:rsidRPr="383293B0" w:rsidR="3C6B5B0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hu-HU"/>
        </w:rPr>
        <w:t xml:space="preserve"> kód: FFGQ7F</w:t>
      </w:r>
    </w:p>
    <w:p w:rsidR="383293B0" w:rsidP="383293B0" w:rsidRDefault="383293B0" w14:paraId="3016D59C" w14:textId="222C93F9">
      <w:pPr>
        <w:pStyle w:val="Heading4"/>
        <w:spacing w:before="0" w:beforeAutospacing="off" w:after="319" w:afterAutospacing="off"/>
        <w:jc w:val="left"/>
        <w:rPr>
          <w:rFonts w:ascii="Times New Roman" w:hAnsi="Times New Roman" w:eastAsia="Times New Roman" w:cs="Times New Roman"/>
          <w:noProof w:val="0"/>
          <w:color w:val="0C3512" w:themeColor="accent3" w:themeTint="FF" w:themeShade="80"/>
          <w:sz w:val="40"/>
          <w:szCs w:val="40"/>
          <w:lang w:val="hu-HU"/>
        </w:rPr>
      </w:pPr>
    </w:p>
    <w:p w:rsidR="00AE815F" w:rsidP="383293B0" w:rsidRDefault="00AE815F" w14:paraId="6EBD9D8B" w14:textId="3AED5BF5">
      <w:pPr>
        <w:pStyle w:val="Heading4"/>
        <w:spacing w:before="0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1. Bevezetés</w:t>
      </w:r>
    </w:p>
    <w:p w:rsidR="00AE815F" w:rsidP="383293B0" w:rsidRDefault="00AE815F" w14:paraId="2FC26F09" w14:textId="67D47061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A jelen dokumentum célja a 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Flight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 xml:space="preserve"> Price 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Prediction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 xml:space="preserve"> – LLM Output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című anyagban bemutatott fordított logikai menet kritikai értékelése. Az elemzés a 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pszeudokód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és a hozzá tartozó magyarázat módszertani megalapozottságát, valamint a logikai és adatkezelési korlátokat vizsgálja. A kritika célja nem a megoldás elutasítása, hanem annak bemutatása, hogy oktatási példaként és valós prediktív rendszerként milyen erősségekkel és korlátokkal rendelkezik.</w:t>
      </w:r>
    </w:p>
    <w:p w:rsidR="00AE815F" w:rsidP="383293B0" w:rsidRDefault="00AE815F" w14:paraId="7A75607C" w14:textId="692DCFDA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2. A feladatértelmezés kritikai vizsgálata</w:t>
      </w:r>
    </w:p>
    <w:p w:rsidR="00AE815F" w:rsidP="383293B0" w:rsidRDefault="00AE815F" w14:paraId="54A57183" w14:textId="257D7F83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A bemutatott megoldás helyesen határozza meg a feladat célját: nem a repülőjegy árának közvetlen előrejelzését végzi, hanem azt vizsgálja, hogy egy adott dátumtól számított 30 napon belül mikor várható a legalacsonyabb ár. Ez a megközelítés koncepcionálisan következetes, és jól elkülönül a klasszikus ár-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előrejelzési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problémáktól. A célváltozó egyértelműen definiált, és a levezetés során végig következetesen jelenik meg.</w:t>
      </w:r>
    </w:p>
    <w:p w:rsidR="383293B0" w:rsidP="383293B0" w:rsidRDefault="383293B0" w14:paraId="4D5F8FD8" w14:textId="13D5B855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noProof w:val="0"/>
          <w:color w:val="0C3512" w:themeColor="accent3" w:themeTint="FF" w:themeShade="80"/>
          <w:sz w:val="40"/>
          <w:szCs w:val="40"/>
          <w:lang w:val="hu-HU"/>
        </w:rPr>
      </w:pPr>
    </w:p>
    <w:p w:rsidR="00AE815F" w:rsidP="383293B0" w:rsidRDefault="00AE815F" w14:paraId="5276A7B5" w14:textId="07010C94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3. Adatelőkészítés és rendezés – kritikai megjegyzések</w:t>
      </w:r>
    </w:p>
    <w:p w:rsidR="00AE815F" w:rsidP="383293B0" w:rsidRDefault="00AE815F" w14:paraId="37353D3C" w14:textId="0E5F92F6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Az adatok dátum szerinti átalakítása, valamint az 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Airline–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Source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–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Destination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–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Date_of_Journey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szerinti rendezés logikailag indokolt és szükséges lépés az időablakos vizsgálathoz. Ugyanakkor a dokumentum nem tér ki az adatok időbeli sűrűségére és teljességére, ami torzíthatja a „következő 30 nap legolcsóbb ára” típusú számításokat. Ez a módszertani kockázat nem kerül explicit módon reflektálásra.</w:t>
      </w:r>
    </w:p>
    <w:p w:rsidR="00AE815F" w:rsidP="383293B0" w:rsidRDefault="00AE815F" w14:paraId="3FD303AF" w14:textId="13D4B012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4. A célváltozó képzése – módszertani kritika</w:t>
      </w:r>
    </w:p>
    <w:p w:rsidR="00AE815F" w:rsidP="383293B0" w:rsidRDefault="00AE815F" w14:paraId="4F597976" w14:textId="447571FE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A célváltozó (</w:t>
      </w:r>
      <w:r w:rsidRPr="383293B0" w:rsidR="00AE815F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hu-HU"/>
        </w:rPr>
        <w:t>Best_in_30_days_offset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) kiszámítása technikailag korrekt és jól követhető. Módszertani problémát jelent azonban, hogy a célérték jövőbeli árak ismeretében kerül meghatározásra. Ez adat-szivárgáshoz vezethet, mivel a modell olyan információkból tanul, amelyek valós 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előrejelzési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környezetben nem állnának rendelkezésre.</w:t>
      </w:r>
    </w:p>
    <w:p w:rsidR="00AE815F" w:rsidP="383293B0" w:rsidRDefault="00AE815F" w14:paraId="63D95542" w14:textId="36817AC1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 xml:space="preserve">5. Kategóriák kódolása és </w:t>
      </w: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feature</w:t>
      </w: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-választás</w:t>
      </w:r>
    </w:p>
    <w:p w:rsidR="00AE815F" w:rsidP="383293B0" w:rsidRDefault="00AE815F" w14:paraId="23668440" w14:textId="54B66636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A szöveges kategóriák 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one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-hot 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encodinggal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történő átalakítása megfelelő döntés a Random Forest modell alkalmazása esetén. A dokumentum ugyanakkor nem tér ki arra, hogy a bemeneti változók számának jelentős növekedése túlillesztéshez vezethet, ami módszertani szempontból releváns megfontolás lenne.</w:t>
      </w:r>
    </w:p>
    <w:p w:rsidR="383293B0" w:rsidP="383293B0" w:rsidRDefault="383293B0" w14:paraId="57CD6EE9" w14:textId="34E294E8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noProof w:val="0"/>
          <w:color w:val="0C3512" w:themeColor="accent3" w:themeTint="FF" w:themeShade="80"/>
          <w:sz w:val="40"/>
          <w:szCs w:val="40"/>
          <w:lang w:val="hu-HU"/>
        </w:rPr>
      </w:pPr>
    </w:p>
    <w:p w:rsidR="00AE815F" w:rsidP="383293B0" w:rsidRDefault="00AE815F" w14:paraId="0E6B0B1F" w14:textId="3E085A0F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6. Modellválasztás és tanítás kritikai elemzése</w:t>
      </w:r>
    </w:p>
    <w:p w:rsidR="00AE815F" w:rsidP="383293B0" w:rsidRDefault="00AE815F" w14:paraId="378CF9C3" w14:textId="0DD57B5A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A Random Forest 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regresszor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alkalmazása technikailag indokolt, mivel képes nemlineáris összefüggések kezelésére. Módszertanilag azonban vitatható, hogy regressziós modellt alkalmazunk egy diszkrét, egész értékű célváltozóra, amely inkább osztályozási vagy rangsorolási problémaként is értelmezhető.</w:t>
      </w:r>
    </w:p>
    <w:p w:rsidR="00AE815F" w:rsidP="383293B0" w:rsidRDefault="00AE815F" w14:paraId="54E33C7B" w14:textId="63D944A7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7. Modellértékelés – kritikai megjegyzések</w:t>
      </w:r>
    </w:p>
    <w:p w:rsidR="00AE815F" w:rsidP="383293B0" w:rsidRDefault="00AE815F" w14:paraId="1E4CC9F9" w14:textId="23EE460A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Az MSE és az R² metrikák kiszámítása technikailag helyes, azonban az eredmények gyakorlati értelmezése hiányzik. Nem kerül bemutatásra, hogy egy adott eltérés milyen mértékben tekinthető elfogadhatónak a feladat szempontjából, ami csökkenti az értékelés gyakorlati relevanciáját.</w:t>
      </w:r>
    </w:p>
    <w:p w:rsidR="383293B0" w:rsidP="383293B0" w:rsidRDefault="383293B0" w14:paraId="1BCE19AC" w14:textId="14EFFD88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</w:p>
    <w:p w:rsidR="383293B0" w:rsidP="383293B0" w:rsidRDefault="383293B0" w14:paraId="6E8BC0B1" w14:textId="1A80E495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</w:p>
    <w:p w:rsidR="00AE815F" w:rsidP="383293B0" w:rsidRDefault="00AE815F" w14:paraId="5C6DF94D" w14:textId="4B2B9DA0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 xml:space="preserve">8. Konkrét jegy elemzése – didaktikai </w:t>
      </w: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vs</w:t>
      </w: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. tudományos érték</w:t>
      </w:r>
    </w:p>
    <w:p w:rsidR="00AE815F" w:rsidP="383293B0" w:rsidRDefault="00AE815F" w14:paraId="40661EEB" w14:textId="72D83CB7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A konkrét jegyre vonatkozó szöveges magyarázat didaktikai szempontból hasznos, mivel segíti a modell működésének megértését. Tudományos szempontból azonban a 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predikció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kerekítése nincs megfelelően alátámasztva, ami pontossági bizonytalanságot eredményezhet.</w:t>
      </w:r>
    </w:p>
    <w:p w:rsidR="00AE815F" w:rsidP="383293B0" w:rsidRDefault="00AE815F" w14:paraId="7C738DD3" w14:textId="7EB6AAF0">
      <w:pPr>
        <w:pStyle w:val="Heading4"/>
        <w:spacing w:before="319" w:beforeAutospacing="off" w:after="319" w:afterAutospacing="off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</w:pPr>
      <w:r w:rsidRPr="383293B0" w:rsidR="00AE81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C3512" w:themeColor="accent3" w:themeTint="FF" w:themeShade="80"/>
          <w:sz w:val="28"/>
          <w:szCs w:val="28"/>
          <w:lang w:val="hu-HU"/>
        </w:rPr>
        <w:t>9. Összegző kritikai értékelés</w:t>
      </w:r>
    </w:p>
    <w:p w:rsidR="00AE815F" w:rsidP="383293B0" w:rsidRDefault="00AE815F" w14:paraId="35096435" w14:textId="14228BC3">
      <w:pPr>
        <w:spacing w:before="240" w:beforeAutospacing="off" w:after="240" w:afterAutospacing="off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</w:pP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A vizsgált dokumentum jól strukturált és logikailag követhető példája egy fordított logikai menetnek. Erőssége az érthető felépítés és az oktatási célú megközelítés, ugyanakkor módszertani korlátokat mutat, különösen az adat-szivárgás és a modell–feladat illeszkedés tekintetében. Összességében a megoldás oktatási célokra megfelelő, azonban valós 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>előrejelzési</w:t>
      </w:r>
      <w:r w:rsidRPr="383293B0" w:rsidR="00AE815F">
        <w:rPr>
          <w:rFonts w:ascii="Times New Roman" w:hAnsi="Times New Roman" w:eastAsia="Times New Roman" w:cs="Times New Roman"/>
          <w:noProof w:val="0"/>
          <w:sz w:val="24"/>
          <w:szCs w:val="24"/>
          <w:lang w:val="hu-HU"/>
        </w:rPr>
        <w:t xml:space="preserve"> rendszerként csak további módszertani pontosításokkal lenne alkalmazható.</w:t>
      </w:r>
    </w:p>
    <w:p w:rsidR="383293B0" w:rsidP="383293B0" w:rsidRDefault="383293B0" w14:paraId="4B649E2B" w14:textId="0F04DB9B">
      <w:pPr>
        <w:pStyle w:val="Normal"/>
        <w:jc w:val="left"/>
        <w:rPr>
          <w:rFonts w:ascii="Times New Roman" w:hAnsi="Times New Roman" w:eastAsia="Times New Roman" w:cs="Times New Roman"/>
          <w:noProof w:val="0"/>
          <w:color w:val="00B0F0"/>
          <w:sz w:val="32"/>
          <w:szCs w:val="32"/>
          <w:u w:val="single"/>
          <w:lang w:val="hu-HU"/>
        </w:rPr>
      </w:pPr>
    </w:p>
    <w:p w:rsidR="32462CCB" w:rsidP="32462CCB" w:rsidRDefault="32462CCB" w14:paraId="691B7D93" w14:textId="1EC590B1">
      <w:pPr>
        <w:spacing w:before="240" w:beforeAutospacing="off" w:after="240" w:afterAutospacing="off"/>
        <w:rPr>
          <w:noProof w:val="0"/>
          <w:lang w:val="hu-HU"/>
        </w:rPr>
      </w:pPr>
    </w:p>
    <w:p w:rsidR="32462CCB" w:rsidP="32462CCB" w:rsidRDefault="32462CCB" w14:paraId="0E927415" w14:textId="54BBD5F9">
      <w:pPr>
        <w:pStyle w:val="ListParagraph"/>
        <w:ind w:left="720"/>
        <w:jc w:val="left"/>
        <w:rPr>
          <w:rFonts w:ascii="Times New Roman" w:hAnsi="Times New Roman" w:eastAsia="Times New Roman" w:cs="Times New Roman"/>
          <w:noProof w:val="0"/>
          <w:sz w:val="32"/>
          <w:szCs w:val="32"/>
          <w:u w:val="single"/>
          <w:lang w:val="hu-HU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21dbb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E8A1D3"/>
    <w:rsid w:val="00AE815F"/>
    <w:rsid w:val="025E6C56"/>
    <w:rsid w:val="0301108B"/>
    <w:rsid w:val="06B6D646"/>
    <w:rsid w:val="13EF7A6E"/>
    <w:rsid w:val="151FAE4F"/>
    <w:rsid w:val="18FAAAF6"/>
    <w:rsid w:val="1CB9384B"/>
    <w:rsid w:val="21E8A1D3"/>
    <w:rsid w:val="2BFB602B"/>
    <w:rsid w:val="2CF2AE83"/>
    <w:rsid w:val="2D3A3814"/>
    <w:rsid w:val="32462CCB"/>
    <w:rsid w:val="33C9D15A"/>
    <w:rsid w:val="37302800"/>
    <w:rsid w:val="383293B0"/>
    <w:rsid w:val="3C6B5B03"/>
    <w:rsid w:val="4298833C"/>
    <w:rsid w:val="476E3C79"/>
    <w:rsid w:val="53C6C5B2"/>
    <w:rsid w:val="5414ABC5"/>
    <w:rsid w:val="560736B2"/>
    <w:rsid w:val="5C0AA88C"/>
    <w:rsid w:val="5ED3126F"/>
    <w:rsid w:val="62E140DD"/>
    <w:rsid w:val="66CAE96E"/>
    <w:rsid w:val="6F863DE2"/>
    <w:rsid w:val="73E11C77"/>
    <w:rsid w:val="765EC049"/>
    <w:rsid w:val="7901843A"/>
    <w:rsid w:val="79CCA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1F60"/>
  <w15:chartTrackingRefBased/>
  <w15:docId w15:val="{BADC2F0D-34FE-4C96-BBD6-F6817726FA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2462CCB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32462CC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eastAsiaTheme="majorEastAsia" w:cstheme="majorBidi"/>
      <w:i/>
      <w:iCs/>
      <w:color w:val="0F4761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80" w:after="40"/>
      <w:outlineLvl xmlns:w="http://schemas.openxmlformats.org/wordprocessingml/2006/main" w:val="3"/>
    </w:pPr>
    <w:rPr xmlns:w="http://schemas.openxmlformats.org/wordprocessingml/2006/main">
      <w:rFonts w:eastAsiaTheme="majorEastAsia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acc7a7983ea47a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2026-01-23T10:25:47.5194031Z</dcterms:created>
  <dcterms:modified xsi:type="dcterms:W3CDTF">2026-01-23T10:54:54.6566694Z</dcterms:modified>
  <dc:creator>Molnár Gergely Áron</dc:creator>
  <lastModifiedBy>Molnár Gergely Áron</lastModifiedBy>
</coreProperties>
</file>