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60393143"/>
        <w:docPartObj>
          <w:docPartGallery w:val="Cover Pages"/>
          <w:docPartUnique/>
        </w:docPartObj>
      </w:sdtPr>
      <w:sdtEndPr>
        <w:rPr>
          <w:rFonts w:eastAsiaTheme="minorHAnsi"/>
          <w:lang w:val="hu-HU"/>
        </w:rPr>
      </w:sdtEndPr>
      <w:sdtContent>
        <w:p w14:paraId="507B202A" w14:textId="77777777" w:rsidR="00B557F9" w:rsidRPr="0045298B" w:rsidRDefault="00B557F9" w:rsidP="00B557F9">
          <w:pPr>
            <w:pStyle w:val="Nincstrkz"/>
            <w:pBdr>
              <w:top w:val="single" w:sz="4" w:space="1" w:color="auto"/>
              <w:left w:val="single" w:sz="4" w:space="4" w:color="auto"/>
              <w:bottom w:val="single" w:sz="4" w:space="1" w:color="auto"/>
              <w:right w:val="single" w:sz="4" w:space="4" w:color="auto"/>
            </w:pBdr>
            <w:jc w:val="both"/>
          </w:pPr>
          <w:r w:rsidRPr="0045298B">
            <w:t>MIAU – HU ISSN 141921652 – Special Edition 2019. May</w:t>
          </w:r>
        </w:p>
        <w:p w14:paraId="1E8DB943" w14:textId="77777777" w:rsidR="00B557F9" w:rsidRPr="0045298B" w:rsidRDefault="00B557F9" w:rsidP="00B557F9">
          <w:pPr>
            <w:pStyle w:val="Nincstrkz"/>
            <w:pBdr>
              <w:top w:val="single" w:sz="4" w:space="1" w:color="auto"/>
              <w:left w:val="single" w:sz="4" w:space="4" w:color="auto"/>
              <w:bottom w:val="single" w:sz="4" w:space="1" w:color="auto"/>
              <w:right w:val="single" w:sz="4" w:space="4" w:color="auto"/>
            </w:pBdr>
            <w:jc w:val="both"/>
          </w:pPr>
          <w:r w:rsidRPr="0045298B">
            <w:t>Editorials: The papers in MIAU Nr.249 (2019.V) are products of a new education frame “</w:t>
          </w:r>
          <w:proofErr w:type="spellStart"/>
          <w:r w:rsidRPr="0045298B">
            <w:t>QuILT</w:t>
          </w:r>
          <w:proofErr w:type="spellEnd"/>
          <w:r w:rsidRPr="0045298B">
            <w:t>” (</w:t>
          </w:r>
          <w:hyperlink r:id="rId6" w:history="1">
            <w:r w:rsidRPr="0045298B">
              <w:rPr>
                <w:rStyle w:val="Hiperhivatkozs"/>
              </w:rPr>
              <w:t>https://miau.my-x.hu/mediawiki/index.php/QuILT</w:t>
            </w:r>
          </w:hyperlink>
          <w:r w:rsidRPr="0045298B">
            <w:t>).</w:t>
          </w:r>
        </w:p>
        <w:p w14:paraId="3E08F630" w14:textId="77777777" w:rsidR="00B557F9" w:rsidRPr="0045298B" w:rsidRDefault="00B557F9" w:rsidP="00B557F9">
          <w:pPr>
            <w:pStyle w:val="Nincstrkz"/>
            <w:pBdr>
              <w:top w:val="single" w:sz="4" w:space="1" w:color="auto"/>
              <w:left w:val="single" w:sz="4" w:space="4" w:color="auto"/>
              <w:bottom w:val="single" w:sz="4" w:space="1" w:color="auto"/>
              <w:right w:val="single" w:sz="4" w:space="4" w:color="auto"/>
            </w:pBdr>
            <w:jc w:val="both"/>
          </w:pPr>
          <w:r w:rsidRPr="0045298B">
            <w:t xml:space="preserve">The goals of </w:t>
          </w:r>
          <w:proofErr w:type="spellStart"/>
          <w:r w:rsidRPr="0045298B">
            <w:t>QuILT</w:t>
          </w:r>
          <w:proofErr w:type="spellEnd"/>
          <w:r w:rsidRPr="0045298B">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w:t>
          </w:r>
          <w:hyperlink r:id="rId7" w:history="1">
            <w:r w:rsidRPr="0045298B">
              <w:rPr>
                <w:rStyle w:val="Hiperhivatkozs"/>
              </w:rPr>
              <w:t>https://miau.my-x.hu/myx-free/coco/index.html</w:t>
            </w:r>
          </w:hyperlink>
          <w:r w:rsidRPr="0045298B">
            <w:t xml:space="preserve">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w:t>
          </w:r>
        </w:p>
        <w:p w14:paraId="78D967C6" w14:textId="77777777" w:rsidR="00B557F9" w:rsidRPr="0045298B" w:rsidRDefault="00B557F9" w:rsidP="00B557F9">
          <w:pPr>
            <w:spacing w:line="200" w:lineRule="exact"/>
            <w:jc w:val="both"/>
            <w:rPr>
              <w:rFonts w:ascii="Times New Roman" w:eastAsia="Times New Roman" w:hAnsi="Times New Roman"/>
              <w:lang w:val="en-GB"/>
            </w:rPr>
          </w:pPr>
        </w:p>
        <w:p w14:paraId="476E8F2C" w14:textId="77777777" w:rsidR="00DE7733" w:rsidRPr="00B557F9" w:rsidRDefault="00DE7733">
          <w:pPr>
            <w:rPr>
              <w:lang w:val="en-GB"/>
            </w:rPr>
          </w:pPr>
        </w:p>
        <w:p w14:paraId="3AC85FCC" w14:textId="77777777" w:rsidR="00DE7733" w:rsidRDefault="00DE7733">
          <w:r>
            <w:br w:type="page"/>
          </w:r>
        </w:p>
        <w:p w14:paraId="41E4B3CC" w14:textId="77776771" w:rsidR="001B3532" w:rsidRDefault="003E4859">
          <w:r>
            <w:rPr>
              <w:noProof/>
            </w:rPr>
            <w:lastRenderedPageBreak/>
            <mc:AlternateContent>
              <mc:Choice Requires="wpg">
                <w:drawing>
                  <wp:anchor distT="0" distB="0" distL="114300" distR="114300" simplePos="0" relativeHeight="251662336" behindDoc="0" locked="0" layoutInCell="1" allowOverlap="1" wp14:anchorId="17A8E48E" wp14:editId="4554E19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CD099D3"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45E6A8A" wp14:editId="152A1B6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9EAF1BA" w14:textId="1155BC96" w:rsidR="00151A20" w:rsidRDefault="00151A20">
                                    <w:pPr>
                                      <w:pStyle w:val="Nincstrkz"/>
                                      <w:jc w:val="right"/>
                                      <w:rPr>
                                        <w:color w:val="595959" w:themeColor="text1" w:themeTint="A6"/>
                                        <w:sz w:val="28"/>
                                        <w:szCs w:val="28"/>
                                      </w:rPr>
                                    </w:pPr>
                                    <w:r>
                                      <w:rPr>
                                        <w:color w:val="595959" w:themeColor="text1" w:themeTint="A6"/>
                                        <w:sz w:val="28"/>
                                        <w:szCs w:val="28"/>
                                      </w:rPr>
                                      <w:t xml:space="preserve">Laetitia </w:t>
                                    </w:r>
                                    <w:proofErr w:type="spellStart"/>
                                    <w:r>
                                      <w:rPr>
                                        <w:color w:val="595959" w:themeColor="text1" w:themeTint="A6"/>
                                        <w:sz w:val="28"/>
                                        <w:szCs w:val="28"/>
                                      </w:rPr>
                                      <w:t>Vira</w:t>
                                    </w:r>
                                    <w:proofErr w:type="spellEnd"/>
                                  </w:p>
                                </w:sdtContent>
                              </w:sdt>
                              <w:p w14:paraId="054835A1" w14:textId="7080DE1A" w:rsidR="00151A20" w:rsidRDefault="002907F5">
                                <w:pPr>
                                  <w:pStyle w:val="Nincstrkz"/>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151A20">
                                      <w:rPr>
                                        <w:color w:val="595959" w:themeColor="text1" w:themeTint="A6"/>
                                        <w:sz w:val="18"/>
                                        <w:szCs w:val="18"/>
                                      </w:rPr>
                                      <w:t>laetitiavira@gmail.com</w:t>
                                    </w:r>
                                  </w:sdtContent>
                                </w:sdt>
                              </w:p>
                              <w:p w14:paraId="2199DF0A" w14:textId="77777777" w:rsidR="00151A20" w:rsidRDefault="00151A20">
                                <w:pPr>
                                  <w:pStyle w:val="Nincstrkz"/>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45E6A8A"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9EAF1BA" w14:textId="1155BC96" w:rsidR="00151A20" w:rsidRDefault="00151A20">
                              <w:pPr>
                                <w:pStyle w:val="Nincstrkz"/>
                                <w:jc w:val="right"/>
                                <w:rPr>
                                  <w:color w:val="595959" w:themeColor="text1" w:themeTint="A6"/>
                                  <w:sz w:val="28"/>
                                  <w:szCs w:val="28"/>
                                </w:rPr>
                              </w:pPr>
                              <w:r>
                                <w:rPr>
                                  <w:color w:val="595959" w:themeColor="text1" w:themeTint="A6"/>
                                  <w:sz w:val="28"/>
                                  <w:szCs w:val="28"/>
                                </w:rPr>
                                <w:t xml:space="preserve">Laetitia </w:t>
                              </w:r>
                              <w:proofErr w:type="spellStart"/>
                              <w:r>
                                <w:rPr>
                                  <w:color w:val="595959" w:themeColor="text1" w:themeTint="A6"/>
                                  <w:sz w:val="28"/>
                                  <w:szCs w:val="28"/>
                                </w:rPr>
                                <w:t>Vira</w:t>
                              </w:r>
                              <w:proofErr w:type="spellEnd"/>
                            </w:p>
                          </w:sdtContent>
                        </w:sdt>
                        <w:p w14:paraId="054835A1" w14:textId="7080DE1A" w:rsidR="00151A20" w:rsidRDefault="002907F5">
                          <w:pPr>
                            <w:pStyle w:val="Nincstrkz"/>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151A20">
                                <w:rPr>
                                  <w:color w:val="595959" w:themeColor="text1" w:themeTint="A6"/>
                                  <w:sz w:val="18"/>
                                  <w:szCs w:val="18"/>
                                </w:rPr>
                                <w:t>laetitiavira@gmail.com</w:t>
                              </w:r>
                            </w:sdtContent>
                          </w:sdt>
                        </w:p>
                        <w:p w14:paraId="2199DF0A" w14:textId="77777777" w:rsidR="00151A20" w:rsidRDefault="00151A20">
                          <w:pPr>
                            <w:pStyle w:val="Nincstrkz"/>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B6B2900" wp14:editId="291096E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D763A" w14:textId="25BAA9B4" w:rsidR="00151A20" w:rsidRDefault="00151A20">
                                <w:pPr>
                                  <w:pStyle w:val="Nincstrkz"/>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B6B2900"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795D763A" w14:textId="25BAA9B4" w:rsidR="00151A20" w:rsidRDefault="00151A20">
                          <w:pPr>
                            <w:pStyle w:val="Nincstrkz"/>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C79F4B4" wp14:editId="6DADA6F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DB53E" w14:textId="01E99CEE" w:rsidR="00151A20" w:rsidRDefault="002907F5">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51A20">
                                      <w:rPr>
                                        <w:caps/>
                                        <w:color w:val="4472C4" w:themeColor="accent1"/>
                                        <w:sz w:val="64"/>
                                        <w:szCs w:val="64"/>
                                      </w:rPr>
                                      <w:t>EVALUATION OF THE GREEN ZONE IN THE EU</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77EF5C5" w14:textId="05E8D0B6" w:rsidR="00151A20" w:rsidRDefault="00151A20">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C79F4B4"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7FDDB53E" w14:textId="01E99CEE" w:rsidR="00151A20" w:rsidRDefault="002907F5">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51A20">
                                <w:rPr>
                                  <w:caps/>
                                  <w:color w:val="4472C4" w:themeColor="accent1"/>
                                  <w:sz w:val="64"/>
                                  <w:szCs w:val="64"/>
                                </w:rPr>
                                <w:t>EVALUATION OF THE GREEN ZONE IN THE EU</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77EF5C5" w14:textId="05E8D0B6" w:rsidR="00151A20" w:rsidRDefault="00151A20">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sdtContent>
    </w:sdt>
    <w:p w14:paraId="753A67B6" w14:textId="77777777" w:rsidR="001B3532" w:rsidRDefault="001B3532">
      <w:r>
        <w:br w:type="page"/>
      </w:r>
    </w:p>
    <w:p w14:paraId="671C2365" w14:textId="09B737EE" w:rsidR="001B3532" w:rsidRPr="001B3532" w:rsidRDefault="001B3532">
      <w:pPr>
        <w:rPr>
          <w:rFonts w:ascii="Times New Roman" w:hAnsi="Times New Roman" w:cs="Times New Roman"/>
          <w:sz w:val="26"/>
          <w:szCs w:val="26"/>
          <w:lang w:val="en-GB"/>
        </w:rPr>
      </w:pPr>
      <w:r w:rsidRPr="001B3532">
        <w:rPr>
          <w:rFonts w:ascii="Times New Roman" w:hAnsi="Times New Roman" w:cs="Times New Roman"/>
          <w:sz w:val="26"/>
          <w:szCs w:val="26"/>
        </w:rPr>
        <w:lastRenderedPageBreak/>
        <w:t>Abstract</w:t>
      </w:r>
    </w:p>
    <w:p w14:paraId="28E92A95" w14:textId="77777777" w:rsidR="001B3532" w:rsidRDefault="001B3532">
      <w:pPr>
        <w:rPr>
          <w:rFonts w:ascii="Times New Roman" w:hAnsi="Times New Roman" w:cs="Times New Roman"/>
          <w:sz w:val="26"/>
          <w:szCs w:val="26"/>
          <w:lang w:val="en-GB"/>
        </w:rPr>
      </w:pPr>
    </w:p>
    <w:p w14:paraId="3134DD43" w14:textId="112D6BC9" w:rsidR="00CC60B8" w:rsidRDefault="001B3532" w:rsidP="00DC6078">
      <w:pPr>
        <w:spacing w:line="360" w:lineRule="auto"/>
        <w:rPr>
          <w:rFonts w:ascii="Times New Roman" w:hAnsi="Times New Roman" w:cs="Times New Roman"/>
          <w:sz w:val="26"/>
          <w:szCs w:val="26"/>
          <w:lang w:val="en-GB"/>
        </w:rPr>
      </w:pPr>
      <w:r w:rsidRPr="001B3532">
        <w:rPr>
          <w:rFonts w:ascii="Times New Roman" w:hAnsi="Times New Roman" w:cs="Times New Roman"/>
          <w:sz w:val="26"/>
          <w:szCs w:val="26"/>
          <w:lang w:val="en-GB"/>
        </w:rPr>
        <w:t>The pur</w:t>
      </w:r>
      <w:r>
        <w:rPr>
          <w:rFonts w:ascii="Times New Roman" w:hAnsi="Times New Roman" w:cs="Times New Roman"/>
          <w:sz w:val="26"/>
          <w:szCs w:val="26"/>
          <w:lang w:val="en-GB"/>
        </w:rPr>
        <w:t>pose of this publication is to evaluate the EU countries as part of the Gree</w:t>
      </w:r>
      <w:r w:rsidR="00DC6078">
        <w:rPr>
          <w:rFonts w:ascii="Times New Roman" w:hAnsi="Times New Roman" w:cs="Times New Roman"/>
          <w:sz w:val="26"/>
          <w:szCs w:val="26"/>
          <w:lang w:val="en-GB"/>
        </w:rPr>
        <w:t>n zone using relevant data from Eurostat and re-create an index according to the collected data</w:t>
      </w:r>
      <w:r w:rsidR="00CC60B8">
        <w:rPr>
          <w:rFonts w:ascii="Times New Roman" w:hAnsi="Times New Roman" w:cs="Times New Roman"/>
          <w:sz w:val="26"/>
          <w:szCs w:val="26"/>
          <w:lang w:val="en-GB"/>
        </w:rPr>
        <w:t xml:space="preserve">. </w:t>
      </w:r>
    </w:p>
    <w:p w14:paraId="168CC07C" w14:textId="0F004AA9" w:rsidR="00163321" w:rsidRDefault="00163321" w:rsidP="00DC6078">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In order to reach the aim of the publication, the steps below played an important role: </w:t>
      </w:r>
    </w:p>
    <w:p w14:paraId="193CF89C" w14:textId="1918DB04" w:rsidR="00163321" w:rsidRDefault="00163321" w:rsidP="00163321">
      <w:pPr>
        <w:pStyle w:val="Listaszerbekezds"/>
        <w:numPr>
          <w:ilvl w:val="0"/>
          <w:numId w:val="1"/>
        </w:num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Collection of data from Eurostat: we picked the data related to ecological field, which helped us observe how green were the EU countries, which are going to be listed later in the publication.</w:t>
      </w:r>
    </w:p>
    <w:p w14:paraId="6996DBED" w14:textId="596575D9" w:rsidR="00163321" w:rsidRDefault="00163321" w:rsidP="00163321">
      <w:pPr>
        <w:pStyle w:val="Listaszerbekezds"/>
        <w:numPr>
          <w:ilvl w:val="0"/>
          <w:numId w:val="1"/>
        </w:num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The data were processed and ranked, which constituted the new index. This re-created index is then compared to the result of </w:t>
      </w:r>
      <w:r w:rsidR="002A6FCA">
        <w:rPr>
          <w:rFonts w:ascii="Times New Roman" w:hAnsi="Times New Roman" w:cs="Times New Roman"/>
          <w:sz w:val="26"/>
          <w:szCs w:val="26"/>
          <w:lang w:val="en-GB"/>
        </w:rPr>
        <w:t xml:space="preserve">the </w:t>
      </w:r>
      <w:bookmarkStart w:id="0" w:name="_Hlk12222767"/>
      <w:r w:rsidR="002A6FCA">
        <w:rPr>
          <w:rFonts w:ascii="Times New Roman" w:hAnsi="Times New Roman" w:cs="Times New Roman"/>
          <w:sz w:val="26"/>
          <w:szCs w:val="26"/>
          <w:lang w:val="en-GB"/>
        </w:rPr>
        <w:t>Global green economy index 2018.</w:t>
      </w:r>
    </w:p>
    <w:bookmarkEnd w:id="0"/>
    <w:p w14:paraId="375EFE1F" w14:textId="1A7F586C" w:rsidR="002A6FCA" w:rsidRPr="002A6FCA" w:rsidRDefault="002A6FCA" w:rsidP="002A6FCA">
      <w:pPr>
        <w:pStyle w:val="Listaszerbekezds"/>
        <w:numPr>
          <w:ilvl w:val="0"/>
          <w:numId w:val="1"/>
        </w:num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The </w:t>
      </w:r>
      <w:r w:rsidRPr="002A6FCA">
        <w:rPr>
          <w:rFonts w:ascii="Times New Roman" w:hAnsi="Times New Roman" w:cs="Times New Roman"/>
          <w:sz w:val="26"/>
          <w:szCs w:val="26"/>
          <w:lang w:val="en-GB"/>
        </w:rPr>
        <w:t xml:space="preserve">Source URL for the publication about the backgrounds: </w:t>
      </w:r>
    </w:p>
    <w:p w14:paraId="2466EC30" w14:textId="2A312F57" w:rsidR="002A6FCA" w:rsidRDefault="002907F5" w:rsidP="002A6FCA">
      <w:pPr>
        <w:pStyle w:val="Listaszerbekezds"/>
        <w:spacing w:line="360" w:lineRule="auto"/>
        <w:rPr>
          <w:rFonts w:ascii="Times New Roman" w:hAnsi="Times New Roman" w:cs="Times New Roman"/>
          <w:sz w:val="26"/>
          <w:szCs w:val="26"/>
          <w:lang w:val="en-GB"/>
        </w:rPr>
      </w:pPr>
      <w:hyperlink r:id="rId10" w:history="1">
        <w:r w:rsidR="002A6FCA" w:rsidRPr="0079045E">
          <w:rPr>
            <w:rStyle w:val="Hiperhivatkozs"/>
            <w:rFonts w:ascii="Times New Roman" w:hAnsi="Times New Roman" w:cs="Times New Roman"/>
            <w:sz w:val="26"/>
            <w:szCs w:val="26"/>
            <w:lang w:val="en-GB"/>
          </w:rPr>
          <w:t>https://miau.my-x.hu/miau/quilt/reconstruction_of_ggei_2018.xlsx</w:t>
        </w:r>
      </w:hyperlink>
      <w:r w:rsidR="002A6FCA">
        <w:rPr>
          <w:rFonts w:ascii="Times New Roman" w:hAnsi="Times New Roman" w:cs="Times New Roman"/>
          <w:sz w:val="26"/>
          <w:szCs w:val="26"/>
          <w:lang w:val="en-GB"/>
        </w:rPr>
        <w:t xml:space="preserve"> and the URL used for modelling: </w:t>
      </w:r>
    </w:p>
    <w:p w14:paraId="3BF1EC41" w14:textId="645C140C" w:rsidR="002A6FCA" w:rsidRDefault="002907F5" w:rsidP="002A6FCA">
      <w:pPr>
        <w:pStyle w:val="Listaszerbekezds"/>
        <w:spacing w:line="360" w:lineRule="auto"/>
        <w:rPr>
          <w:rFonts w:ascii="Times New Roman" w:hAnsi="Times New Roman" w:cs="Times New Roman"/>
          <w:sz w:val="26"/>
          <w:szCs w:val="26"/>
          <w:lang w:val="en-GB"/>
        </w:rPr>
      </w:pPr>
      <w:hyperlink r:id="rId11" w:history="1">
        <w:r w:rsidR="002A6FCA" w:rsidRPr="0079045E">
          <w:rPr>
            <w:rStyle w:val="Hiperhivatkozs"/>
            <w:rFonts w:ascii="Times New Roman" w:hAnsi="Times New Roman" w:cs="Times New Roman"/>
            <w:sz w:val="26"/>
            <w:szCs w:val="26"/>
            <w:lang w:val="en-GB"/>
          </w:rPr>
          <w:t>https://miau.my-x.hu/myx-free/coco/beker_std.php</w:t>
        </w:r>
      </w:hyperlink>
      <w:r w:rsidR="002A6FCA">
        <w:rPr>
          <w:rFonts w:ascii="Times New Roman" w:hAnsi="Times New Roman" w:cs="Times New Roman"/>
          <w:sz w:val="26"/>
          <w:szCs w:val="26"/>
          <w:lang w:val="en-GB"/>
        </w:rPr>
        <w:t xml:space="preserve"> </w:t>
      </w:r>
    </w:p>
    <w:p w14:paraId="3B7A0B05" w14:textId="3C4D0F0E" w:rsidR="002A6FCA" w:rsidRDefault="002A6FCA" w:rsidP="002A6FCA">
      <w:pPr>
        <w:pStyle w:val="Listaszerbekezds"/>
        <w:spacing w:line="360" w:lineRule="auto"/>
        <w:rPr>
          <w:rFonts w:ascii="Times New Roman" w:hAnsi="Times New Roman" w:cs="Times New Roman"/>
          <w:sz w:val="26"/>
          <w:szCs w:val="26"/>
          <w:lang w:val="en-GB"/>
        </w:rPr>
      </w:pPr>
    </w:p>
    <w:p w14:paraId="171558E5" w14:textId="29001000" w:rsidR="0035554D" w:rsidRDefault="0035554D" w:rsidP="002A6FCA">
      <w:pPr>
        <w:pStyle w:val="Listaszerbekezds"/>
        <w:spacing w:line="360" w:lineRule="auto"/>
        <w:rPr>
          <w:rFonts w:ascii="Times New Roman" w:hAnsi="Times New Roman" w:cs="Times New Roman"/>
          <w:sz w:val="26"/>
          <w:szCs w:val="26"/>
          <w:lang w:val="en-GB"/>
        </w:rPr>
      </w:pPr>
    </w:p>
    <w:p w14:paraId="02729C6E" w14:textId="1A97D44D" w:rsidR="0035554D" w:rsidRDefault="0035554D" w:rsidP="002A6FCA">
      <w:pPr>
        <w:pStyle w:val="Listaszerbekezds"/>
        <w:spacing w:line="360" w:lineRule="auto"/>
        <w:rPr>
          <w:rFonts w:ascii="Times New Roman" w:hAnsi="Times New Roman" w:cs="Times New Roman"/>
          <w:sz w:val="26"/>
          <w:szCs w:val="26"/>
          <w:lang w:val="en-GB"/>
        </w:rPr>
      </w:pPr>
      <w:r>
        <w:rPr>
          <w:noProof/>
        </w:rPr>
        <w:drawing>
          <wp:inline distT="0" distB="0" distL="0" distR="0" wp14:anchorId="4DB85D9F" wp14:editId="34EC79D3">
            <wp:extent cx="5148263" cy="2743200"/>
            <wp:effectExtent l="0" t="0" r="14605" b="0"/>
            <wp:docPr id="1" name="Chart 1">
              <a:extLst xmlns:a="http://schemas.openxmlformats.org/drawingml/2006/main">
                <a:ext uri="{FF2B5EF4-FFF2-40B4-BE49-F238E27FC236}">
                  <a16:creationId xmlns:a16="http://schemas.microsoft.com/office/drawing/2014/main" id="{B41C3A15-13E5-437F-B9A6-93A642BF5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F0C5FC" w14:textId="284528DC" w:rsidR="007357B1" w:rsidRDefault="007357B1" w:rsidP="007357B1">
      <w:pPr>
        <w:pStyle w:val="Listaszerbekezds"/>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Fig. </w:t>
      </w:r>
      <w:r w:rsidR="000B5583">
        <w:rPr>
          <w:rFonts w:ascii="Times New Roman" w:hAnsi="Times New Roman" w:cs="Times New Roman"/>
          <w:sz w:val="26"/>
          <w:szCs w:val="26"/>
          <w:lang w:val="en-GB"/>
        </w:rPr>
        <w:t>Nr</w:t>
      </w:r>
      <w:r>
        <w:rPr>
          <w:rFonts w:ascii="Times New Roman" w:hAnsi="Times New Roman" w:cs="Times New Roman"/>
          <w:sz w:val="26"/>
          <w:szCs w:val="26"/>
          <w:lang w:val="en-GB"/>
        </w:rPr>
        <w:t>1</w:t>
      </w:r>
      <w:r w:rsidR="000B5583">
        <w:rPr>
          <w:rFonts w:ascii="Times New Roman" w:hAnsi="Times New Roman" w:cs="Times New Roman"/>
          <w:sz w:val="26"/>
          <w:szCs w:val="26"/>
          <w:lang w:val="en-GB"/>
        </w:rPr>
        <w:t xml:space="preserve"> </w:t>
      </w:r>
      <w:r w:rsidR="00B557F9">
        <w:rPr>
          <w:rFonts w:ascii="Times New Roman" w:hAnsi="Times New Roman" w:cs="Times New Roman"/>
          <w:sz w:val="26"/>
          <w:szCs w:val="26"/>
          <w:lang w:val="en-GB"/>
        </w:rPr>
        <w:t>– Raw data (source: own presentation)</w:t>
      </w:r>
    </w:p>
    <w:p w14:paraId="661263B9" w14:textId="5E5D30D5" w:rsidR="0035554D" w:rsidRDefault="0035554D" w:rsidP="002A6FCA">
      <w:pPr>
        <w:spacing w:line="360" w:lineRule="auto"/>
        <w:rPr>
          <w:rFonts w:ascii="Times New Roman" w:hAnsi="Times New Roman" w:cs="Times New Roman"/>
          <w:sz w:val="26"/>
          <w:szCs w:val="26"/>
          <w:lang w:val="en-GB"/>
        </w:rPr>
      </w:pPr>
    </w:p>
    <w:p w14:paraId="4C5F8A98" w14:textId="77777777" w:rsidR="00BA2A34" w:rsidRDefault="00B00B5B"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 xml:space="preserve">The first set of collected data was the </w:t>
      </w:r>
      <w:r w:rsidRPr="00B00B5B">
        <w:rPr>
          <w:rFonts w:ascii="Times New Roman" w:hAnsi="Times New Roman" w:cs="Times New Roman"/>
          <w:sz w:val="26"/>
          <w:szCs w:val="26"/>
          <w:lang w:val="en-GB"/>
        </w:rPr>
        <w:t>Global green economy index 2018</w:t>
      </w:r>
      <w:r>
        <w:rPr>
          <w:rFonts w:ascii="Times New Roman" w:hAnsi="Times New Roman" w:cs="Times New Roman"/>
          <w:sz w:val="26"/>
          <w:szCs w:val="26"/>
          <w:lang w:val="en-GB"/>
        </w:rPr>
        <w:t>,</w:t>
      </w:r>
      <w:r w:rsidR="007357B1">
        <w:rPr>
          <w:rFonts w:ascii="Times New Roman" w:hAnsi="Times New Roman" w:cs="Times New Roman"/>
          <w:sz w:val="26"/>
          <w:szCs w:val="26"/>
          <w:lang w:val="en-GB"/>
        </w:rPr>
        <w:t xml:space="preserve"> </w:t>
      </w:r>
      <w:r w:rsidR="007357B1" w:rsidRPr="007357B1">
        <w:rPr>
          <w:rFonts w:ascii="Times New Roman" w:hAnsi="Times New Roman" w:cs="Times New Roman"/>
          <w:sz w:val="26"/>
          <w:szCs w:val="26"/>
          <w:lang w:val="en-GB"/>
        </w:rPr>
        <w:t xml:space="preserve">expressed as percentiles representing an aggregate result from the four main dimensions of the GGEI: leadership &amp; climate change; efficiency sectors; markets &amp; investment; and </w:t>
      </w:r>
    </w:p>
    <w:p w14:paraId="382756C9" w14:textId="0854D80B" w:rsidR="00B00B5B" w:rsidRDefault="007357B1" w:rsidP="002A6FCA">
      <w:pPr>
        <w:spacing w:line="360" w:lineRule="auto"/>
        <w:rPr>
          <w:rFonts w:ascii="Times New Roman" w:hAnsi="Times New Roman" w:cs="Times New Roman"/>
          <w:sz w:val="26"/>
          <w:szCs w:val="26"/>
          <w:lang w:val="en-GB"/>
        </w:rPr>
      </w:pPr>
      <w:r w:rsidRPr="007357B1">
        <w:rPr>
          <w:rFonts w:ascii="Times New Roman" w:hAnsi="Times New Roman" w:cs="Times New Roman"/>
          <w:sz w:val="26"/>
          <w:szCs w:val="26"/>
          <w:lang w:val="en-GB"/>
        </w:rPr>
        <w:t>environment.</w:t>
      </w:r>
    </w:p>
    <w:p w14:paraId="6770EBE0" w14:textId="17A41D7F" w:rsidR="00BA2A34" w:rsidRDefault="00BA2A34" w:rsidP="002A6FCA">
      <w:pPr>
        <w:spacing w:line="360" w:lineRule="auto"/>
        <w:rPr>
          <w:rFonts w:ascii="Times New Roman" w:hAnsi="Times New Roman" w:cs="Times New Roman"/>
          <w:sz w:val="26"/>
          <w:szCs w:val="26"/>
          <w:lang w:val="en-GB"/>
        </w:rPr>
      </w:pPr>
      <w:r>
        <w:rPr>
          <w:noProof/>
        </w:rPr>
        <w:drawing>
          <wp:inline distT="0" distB="0" distL="0" distR="0" wp14:anchorId="7418D579" wp14:editId="18267D5D">
            <wp:extent cx="5886450" cy="3209925"/>
            <wp:effectExtent l="0" t="0" r="0" b="9525"/>
            <wp:docPr id="2" name="Chart 2">
              <a:extLst xmlns:a="http://schemas.openxmlformats.org/drawingml/2006/main">
                <a:ext uri="{FF2B5EF4-FFF2-40B4-BE49-F238E27FC236}">
                  <a16:creationId xmlns:a16="http://schemas.microsoft.com/office/drawing/2014/main" id="{711C2D29-505E-4161-A4EB-C0D70444A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0C5A45" w14:textId="2390CED4" w:rsidR="00BA2A34" w:rsidRDefault="00BA2A34"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Fig </w:t>
      </w:r>
      <w:r w:rsidR="000B5583">
        <w:rPr>
          <w:rFonts w:ascii="Times New Roman" w:hAnsi="Times New Roman" w:cs="Times New Roman"/>
          <w:sz w:val="26"/>
          <w:szCs w:val="26"/>
          <w:lang w:val="en-GB"/>
        </w:rPr>
        <w:t>Nr</w:t>
      </w:r>
      <w:r>
        <w:rPr>
          <w:rFonts w:ascii="Times New Roman" w:hAnsi="Times New Roman" w:cs="Times New Roman"/>
          <w:sz w:val="26"/>
          <w:szCs w:val="26"/>
          <w:lang w:val="en-GB"/>
        </w:rPr>
        <w:t>2</w:t>
      </w:r>
      <w:r w:rsidR="00B557F9">
        <w:rPr>
          <w:rFonts w:ascii="Times New Roman" w:hAnsi="Times New Roman" w:cs="Times New Roman"/>
          <w:sz w:val="26"/>
          <w:szCs w:val="26"/>
          <w:lang w:val="en-GB"/>
        </w:rPr>
        <w:t>: Market shares</w:t>
      </w:r>
      <w:r w:rsidR="00B557F9">
        <w:rPr>
          <w:rFonts w:ascii="Times New Roman" w:hAnsi="Times New Roman" w:cs="Times New Roman"/>
          <w:sz w:val="26"/>
          <w:szCs w:val="26"/>
          <w:lang w:val="en-GB"/>
        </w:rPr>
        <w:t xml:space="preserve"> (source: official statistics)</w:t>
      </w:r>
    </w:p>
    <w:p w14:paraId="08E4DC2C" w14:textId="395C956C" w:rsidR="00BA2A34" w:rsidRDefault="00BA2A34" w:rsidP="002A6FCA">
      <w:pPr>
        <w:spacing w:line="360" w:lineRule="auto"/>
        <w:rPr>
          <w:rFonts w:ascii="Times New Roman" w:hAnsi="Times New Roman" w:cs="Times New Roman"/>
          <w:sz w:val="26"/>
          <w:szCs w:val="26"/>
          <w:lang w:val="en-GB"/>
        </w:rPr>
      </w:pPr>
      <w:r w:rsidRPr="00BA2A34">
        <w:rPr>
          <w:rFonts w:ascii="Times New Roman" w:hAnsi="Times New Roman" w:cs="Times New Roman"/>
          <w:sz w:val="26"/>
          <w:szCs w:val="26"/>
          <w:lang w:val="en-GB"/>
        </w:rPr>
        <w:t>Market share of the largest generator in the electricity market - as a percentage of the total generation</w:t>
      </w:r>
    </w:p>
    <w:p w14:paraId="2FDD1565" w14:textId="264B13DD" w:rsidR="00BA2A34" w:rsidRDefault="000B5583" w:rsidP="002A6FCA">
      <w:pPr>
        <w:spacing w:line="360" w:lineRule="auto"/>
        <w:rPr>
          <w:rFonts w:ascii="Times New Roman" w:hAnsi="Times New Roman" w:cs="Times New Roman"/>
          <w:sz w:val="26"/>
          <w:szCs w:val="26"/>
          <w:lang w:val="en-GB"/>
        </w:rPr>
      </w:pPr>
      <w:r w:rsidRPr="000B5583">
        <w:rPr>
          <w:rFonts w:ascii="Times New Roman" w:hAnsi="Times New Roman" w:cs="Times New Roman"/>
          <w:sz w:val="26"/>
          <w:szCs w:val="26"/>
          <w:lang w:val="en-GB"/>
        </w:rPr>
        <w:t xml:space="preserve">The </w:t>
      </w:r>
      <w:r w:rsidR="00060520">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00060520" w:rsidRPr="00060520">
        <w:rPr>
          <w:rFonts w:ascii="Times New Roman" w:hAnsi="Times New Roman" w:cs="Times New Roman"/>
          <w:sz w:val="26"/>
          <w:szCs w:val="26"/>
          <w:lang w:val="en-GB"/>
        </w:rPr>
        <w:t>/</w:t>
      </w:r>
      <w:r w:rsidR="00060520">
        <w:rPr>
          <w:rFonts w:ascii="Times New Roman" w:hAnsi="Times New Roman" w:cs="Times New Roman"/>
          <w:sz w:val="26"/>
          <w:szCs w:val="26"/>
          <w:lang w:val="en-GB"/>
        </w:rPr>
        <w:t>the less</w:t>
      </w:r>
      <w:r w:rsidRPr="000B5583">
        <w:rPr>
          <w:rFonts w:ascii="Times New Roman" w:hAnsi="Times New Roman" w:cs="Times New Roman"/>
          <w:sz w:val="26"/>
          <w:szCs w:val="26"/>
          <w:lang w:val="en-GB"/>
        </w:rPr>
        <w:t xml:space="preserve">” </w:t>
      </w:r>
      <w:r w:rsidR="00060520">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sidR="00060520">
        <w:rPr>
          <w:rFonts w:ascii="Times New Roman" w:hAnsi="Times New Roman" w:cs="Times New Roman"/>
          <w:sz w:val="26"/>
          <w:szCs w:val="26"/>
          <w:lang w:val="en-GB"/>
        </w:rPr>
        <w:t xml:space="preserve">GGEI value. </w:t>
      </w:r>
      <w:r w:rsidR="001C0C43">
        <w:rPr>
          <w:rFonts w:ascii="Times New Roman" w:hAnsi="Times New Roman" w:cs="Times New Roman"/>
          <w:sz w:val="26"/>
          <w:szCs w:val="26"/>
          <w:lang w:val="en-GB"/>
        </w:rPr>
        <w:t>The more is the share, the less ecological is the country, therefore, the less green it appears on the index.</w:t>
      </w:r>
      <w:r w:rsidR="00060520">
        <w:rPr>
          <w:rFonts w:ascii="Times New Roman" w:hAnsi="Times New Roman" w:cs="Times New Roman"/>
          <w:sz w:val="26"/>
          <w:szCs w:val="26"/>
          <w:lang w:val="en-GB"/>
        </w:rPr>
        <w:t xml:space="preserve"> The values are expressed in percentage. </w:t>
      </w:r>
    </w:p>
    <w:p w14:paraId="2945DCBA" w14:textId="7831A46F" w:rsidR="001C0C43" w:rsidRDefault="001C0C43" w:rsidP="002A6FCA">
      <w:pPr>
        <w:spacing w:line="360" w:lineRule="auto"/>
        <w:rPr>
          <w:rFonts w:ascii="Times New Roman" w:hAnsi="Times New Roman" w:cs="Times New Roman"/>
          <w:sz w:val="26"/>
          <w:szCs w:val="26"/>
          <w:lang w:val="en-GB"/>
        </w:rPr>
      </w:pPr>
    </w:p>
    <w:p w14:paraId="237E2080" w14:textId="654CE0F4" w:rsidR="001C0C43" w:rsidRDefault="001C0C43" w:rsidP="002A6FCA">
      <w:pPr>
        <w:spacing w:line="360" w:lineRule="auto"/>
        <w:rPr>
          <w:rFonts w:ascii="Times New Roman" w:hAnsi="Times New Roman" w:cs="Times New Roman"/>
          <w:sz w:val="26"/>
          <w:szCs w:val="26"/>
          <w:lang w:val="en-GB"/>
        </w:rPr>
      </w:pPr>
      <w:r>
        <w:rPr>
          <w:noProof/>
        </w:rPr>
        <w:lastRenderedPageBreak/>
        <w:drawing>
          <wp:inline distT="0" distB="0" distL="0" distR="0" wp14:anchorId="202DC90A" wp14:editId="7C73107F">
            <wp:extent cx="5731510" cy="2763520"/>
            <wp:effectExtent l="0" t="0" r="2540" b="17780"/>
            <wp:docPr id="3" name="Chart 3">
              <a:extLst xmlns:a="http://schemas.openxmlformats.org/drawingml/2006/main">
                <a:ext uri="{FF2B5EF4-FFF2-40B4-BE49-F238E27FC236}">
                  <a16:creationId xmlns:a16="http://schemas.microsoft.com/office/drawing/2014/main" id="{0C94A7E8-7CF9-4AB1-986E-42187B63B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5EE48E" w14:textId="3C0C5B9C" w:rsidR="001C0C43" w:rsidRDefault="00017D8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3</w:t>
      </w:r>
      <w:r w:rsidR="00B557F9">
        <w:rPr>
          <w:rFonts w:ascii="Times New Roman" w:hAnsi="Times New Roman" w:cs="Times New Roman"/>
          <w:sz w:val="26"/>
          <w:szCs w:val="26"/>
          <w:lang w:val="en-GB"/>
        </w:rPr>
        <w:t xml:space="preserve"> – Heating degree days (source: official statistics)</w:t>
      </w:r>
    </w:p>
    <w:p w14:paraId="44B2D3BD" w14:textId="1B71DA8C" w:rsidR="00017D8A" w:rsidRDefault="00017D8A" w:rsidP="002A6FCA">
      <w:pPr>
        <w:spacing w:line="360" w:lineRule="auto"/>
        <w:rPr>
          <w:rFonts w:ascii="Times New Roman" w:hAnsi="Times New Roman" w:cs="Times New Roman"/>
          <w:sz w:val="26"/>
          <w:szCs w:val="26"/>
          <w:lang w:val="en-GB"/>
        </w:rPr>
      </w:pPr>
    </w:p>
    <w:p w14:paraId="79D9DB03" w14:textId="4D9E1078" w:rsidR="00017D8A" w:rsidRDefault="00017D8A" w:rsidP="002A6FCA">
      <w:pPr>
        <w:spacing w:line="360" w:lineRule="auto"/>
        <w:rPr>
          <w:rFonts w:ascii="Times New Roman" w:hAnsi="Times New Roman" w:cs="Times New Roman"/>
          <w:sz w:val="26"/>
          <w:szCs w:val="26"/>
          <w:lang w:val="en-GB"/>
        </w:rPr>
      </w:pPr>
      <w:r>
        <w:rPr>
          <w:noProof/>
        </w:rPr>
        <w:drawing>
          <wp:inline distT="0" distB="0" distL="0" distR="0" wp14:anchorId="262C96BF" wp14:editId="179FEA1E">
            <wp:extent cx="5700713" cy="3038475"/>
            <wp:effectExtent l="0" t="0" r="14605" b="9525"/>
            <wp:docPr id="4" name="Chart 4">
              <a:extLst xmlns:a="http://schemas.openxmlformats.org/drawingml/2006/main">
                <a:ext uri="{FF2B5EF4-FFF2-40B4-BE49-F238E27FC236}">
                  <a16:creationId xmlns:a16="http://schemas.microsoft.com/office/drawing/2014/main" id="{27FF99C8-329E-4751-A616-DC15EBC1D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EAAD86" w14:textId="6AB826A8" w:rsidR="00017D8A" w:rsidRDefault="00017D8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4</w:t>
      </w:r>
      <w:r w:rsidR="00B557F9">
        <w:rPr>
          <w:rFonts w:ascii="Times New Roman" w:hAnsi="Times New Roman" w:cs="Times New Roman"/>
          <w:sz w:val="26"/>
          <w:szCs w:val="26"/>
          <w:lang w:val="en-GB"/>
        </w:rPr>
        <w:t xml:space="preserve"> – Cooling degree days</w:t>
      </w:r>
      <w:r w:rsidR="00B557F9">
        <w:rPr>
          <w:rFonts w:ascii="Times New Roman" w:hAnsi="Times New Roman" w:cs="Times New Roman"/>
          <w:sz w:val="26"/>
          <w:szCs w:val="26"/>
          <w:lang w:val="en-GB"/>
        </w:rPr>
        <w:t xml:space="preserve"> (source: official statistics)</w:t>
      </w:r>
    </w:p>
    <w:p w14:paraId="221B7722" w14:textId="77777777" w:rsidR="00017D8A" w:rsidRPr="000B5583" w:rsidRDefault="00017D8A" w:rsidP="002A6FCA">
      <w:pPr>
        <w:spacing w:line="360" w:lineRule="auto"/>
        <w:rPr>
          <w:rFonts w:ascii="Times New Roman" w:hAnsi="Times New Roman" w:cs="Times New Roman"/>
          <w:sz w:val="26"/>
          <w:szCs w:val="26"/>
          <w:lang w:val="en-GB"/>
        </w:rPr>
      </w:pPr>
    </w:p>
    <w:p w14:paraId="3A51A976" w14:textId="77777777" w:rsidR="00B557F9" w:rsidRDefault="00B557F9">
      <w:pPr>
        <w:rPr>
          <w:rFonts w:ascii="Times New Roman" w:hAnsi="Times New Roman" w:cs="Times New Roman"/>
          <w:sz w:val="26"/>
          <w:szCs w:val="26"/>
          <w:lang w:val="en-GB"/>
        </w:rPr>
      </w:pPr>
      <w:r>
        <w:rPr>
          <w:rFonts w:ascii="Times New Roman" w:hAnsi="Times New Roman" w:cs="Times New Roman"/>
          <w:sz w:val="26"/>
          <w:szCs w:val="26"/>
          <w:lang w:val="en-GB"/>
        </w:rPr>
        <w:br w:type="page"/>
      </w:r>
    </w:p>
    <w:p w14:paraId="60E543FF" w14:textId="35AFF4DE" w:rsidR="004875AA" w:rsidRDefault="00017D8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Fig Nr 3 and 4:</w:t>
      </w:r>
    </w:p>
    <w:p w14:paraId="32C5C001" w14:textId="77777777" w:rsidR="00017D8A" w:rsidRDefault="00017D8A" w:rsidP="00017D8A">
      <w:pPr>
        <w:spacing w:line="360" w:lineRule="auto"/>
        <w:rPr>
          <w:rFonts w:ascii="Times New Roman" w:hAnsi="Times New Roman" w:cs="Times New Roman"/>
          <w:sz w:val="26"/>
          <w:szCs w:val="26"/>
          <w:lang w:val="en-GB"/>
        </w:rPr>
      </w:pPr>
      <w:bookmarkStart w:id="1" w:name="_Hlk12304423"/>
      <w:r w:rsidRPr="000B5583">
        <w:rPr>
          <w:rFonts w:ascii="Times New Roman" w:hAnsi="Times New Roman" w:cs="Times New Roman"/>
          <w:sz w:val="26"/>
          <w:szCs w:val="26"/>
          <w:lang w:val="en-GB"/>
        </w:rPr>
        <w:t xml:space="preserve">The </w:t>
      </w:r>
      <w:r>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Pr="00060520">
        <w:rPr>
          <w:rFonts w:ascii="Times New Roman" w:hAnsi="Times New Roman" w:cs="Times New Roman"/>
          <w:sz w:val="26"/>
          <w:szCs w:val="26"/>
          <w:lang w:val="en-GB"/>
        </w:rPr>
        <w:t>/</w:t>
      </w:r>
      <w:r>
        <w:rPr>
          <w:rFonts w:ascii="Times New Roman" w:hAnsi="Times New Roman" w:cs="Times New Roman"/>
          <w:sz w:val="26"/>
          <w:szCs w:val="26"/>
          <w:lang w:val="en-GB"/>
        </w:rPr>
        <w:t>the less</w:t>
      </w:r>
      <w:r w:rsidRPr="000B5583">
        <w:rPr>
          <w:rFonts w:ascii="Times New Roman" w:hAnsi="Times New Roman" w:cs="Times New Roman"/>
          <w:sz w:val="26"/>
          <w:szCs w:val="26"/>
          <w:lang w:val="en-GB"/>
        </w:rPr>
        <w:t xml:space="preserve">” </w:t>
      </w:r>
      <w:r>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Pr>
          <w:rFonts w:ascii="Times New Roman" w:hAnsi="Times New Roman" w:cs="Times New Roman"/>
          <w:sz w:val="26"/>
          <w:szCs w:val="26"/>
          <w:lang w:val="en-GB"/>
        </w:rPr>
        <w:t>GGEI value. The more are heating or cooling days, the less ecological is the country, therefore, the less green it appears on the index. The values are expressed in days.</w:t>
      </w:r>
    </w:p>
    <w:bookmarkEnd w:id="1"/>
    <w:p w14:paraId="640F006F" w14:textId="77777777" w:rsidR="00017D8A" w:rsidRDefault="00017D8A" w:rsidP="00017D8A">
      <w:pPr>
        <w:spacing w:line="360" w:lineRule="auto"/>
        <w:rPr>
          <w:rFonts w:ascii="Times New Roman" w:hAnsi="Times New Roman" w:cs="Times New Roman"/>
          <w:sz w:val="26"/>
          <w:szCs w:val="26"/>
          <w:lang w:val="en-GB"/>
        </w:rPr>
      </w:pPr>
    </w:p>
    <w:p w14:paraId="23DA9346" w14:textId="77777777" w:rsidR="00017D8A" w:rsidRDefault="00017D8A" w:rsidP="00017D8A">
      <w:pPr>
        <w:spacing w:line="360" w:lineRule="auto"/>
        <w:rPr>
          <w:rFonts w:ascii="Times New Roman" w:hAnsi="Times New Roman" w:cs="Times New Roman"/>
          <w:sz w:val="26"/>
          <w:szCs w:val="26"/>
          <w:lang w:val="en-GB"/>
        </w:rPr>
      </w:pPr>
      <w:r>
        <w:rPr>
          <w:noProof/>
        </w:rPr>
        <w:drawing>
          <wp:inline distT="0" distB="0" distL="0" distR="0" wp14:anchorId="7D80EA2A" wp14:editId="55A445E4">
            <wp:extent cx="5372099" cy="3381375"/>
            <wp:effectExtent l="0" t="0" r="635" b="9525"/>
            <wp:docPr id="5" name="Chart 5">
              <a:extLst xmlns:a="http://schemas.openxmlformats.org/drawingml/2006/main">
                <a:ext uri="{FF2B5EF4-FFF2-40B4-BE49-F238E27FC236}">
                  <a16:creationId xmlns:a16="http://schemas.microsoft.com/office/drawing/2014/main" id="{23C44442-7CB9-4325-9243-5FE05FCC4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2A9628" w14:textId="65F740D5" w:rsidR="00017D8A" w:rsidRDefault="001928F3" w:rsidP="00017D8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5</w:t>
      </w:r>
      <w:r w:rsidR="00017D8A">
        <w:rPr>
          <w:rFonts w:ascii="Times New Roman" w:hAnsi="Times New Roman" w:cs="Times New Roman"/>
          <w:sz w:val="26"/>
          <w:szCs w:val="26"/>
          <w:lang w:val="en-GB"/>
        </w:rPr>
        <w:t xml:space="preserve"> </w:t>
      </w:r>
      <w:r w:rsidR="00B557F9">
        <w:rPr>
          <w:rFonts w:ascii="Times New Roman" w:hAnsi="Times New Roman" w:cs="Times New Roman"/>
          <w:sz w:val="26"/>
          <w:szCs w:val="26"/>
          <w:lang w:val="en-GB"/>
        </w:rPr>
        <w:t xml:space="preserve">– </w:t>
      </w:r>
      <w:proofErr w:type="spellStart"/>
      <w:r w:rsidR="00B557F9">
        <w:rPr>
          <w:rFonts w:ascii="Times New Roman" w:hAnsi="Times New Roman" w:cs="Times New Roman"/>
          <w:sz w:val="26"/>
          <w:szCs w:val="26"/>
          <w:lang w:val="en-GB"/>
        </w:rPr>
        <w:t>Cocenant</w:t>
      </w:r>
      <w:proofErr w:type="spellEnd"/>
      <w:r w:rsidR="00B557F9">
        <w:rPr>
          <w:rFonts w:ascii="Times New Roman" w:hAnsi="Times New Roman" w:cs="Times New Roman"/>
          <w:sz w:val="26"/>
          <w:szCs w:val="26"/>
          <w:lang w:val="en-GB"/>
        </w:rPr>
        <w:t xml:space="preserve"> of mayors for climate and energy </w:t>
      </w:r>
      <w:proofErr w:type="gramStart"/>
      <w:r w:rsidR="00B557F9">
        <w:rPr>
          <w:rFonts w:ascii="Times New Roman" w:hAnsi="Times New Roman" w:cs="Times New Roman"/>
          <w:sz w:val="26"/>
          <w:szCs w:val="26"/>
          <w:lang w:val="en-GB"/>
        </w:rPr>
        <w:t xml:space="preserve">signatories </w:t>
      </w:r>
      <w:r w:rsidR="00B557F9">
        <w:rPr>
          <w:rFonts w:ascii="Times New Roman" w:hAnsi="Times New Roman" w:cs="Times New Roman"/>
          <w:sz w:val="26"/>
          <w:szCs w:val="26"/>
          <w:lang w:val="en-GB"/>
        </w:rPr>
        <w:t xml:space="preserve"> (</w:t>
      </w:r>
      <w:proofErr w:type="gramEnd"/>
      <w:r w:rsidR="00B557F9">
        <w:rPr>
          <w:rFonts w:ascii="Times New Roman" w:hAnsi="Times New Roman" w:cs="Times New Roman"/>
          <w:sz w:val="26"/>
          <w:szCs w:val="26"/>
          <w:lang w:val="en-GB"/>
        </w:rPr>
        <w:t>source: official statistics)</w:t>
      </w:r>
    </w:p>
    <w:p w14:paraId="10BCBFE3" w14:textId="1F1D7420" w:rsidR="001928F3" w:rsidRDefault="001928F3" w:rsidP="001928F3">
      <w:pPr>
        <w:spacing w:line="360" w:lineRule="auto"/>
        <w:rPr>
          <w:rFonts w:ascii="Times New Roman" w:hAnsi="Times New Roman" w:cs="Times New Roman"/>
          <w:sz w:val="26"/>
          <w:szCs w:val="26"/>
          <w:lang w:val="en-GB"/>
        </w:rPr>
      </w:pPr>
      <w:r w:rsidRPr="000B5583">
        <w:rPr>
          <w:rFonts w:ascii="Times New Roman" w:hAnsi="Times New Roman" w:cs="Times New Roman"/>
          <w:sz w:val="26"/>
          <w:szCs w:val="26"/>
          <w:lang w:val="en-GB"/>
        </w:rPr>
        <w:t xml:space="preserve">The </w:t>
      </w:r>
      <w:r>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Pr="00060520">
        <w:rPr>
          <w:rFonts w:ascii="Times New Roman" w:hAnsi="Times New Roman" w:cs="Times New Roman"/>
          <w:sz w:val="26"/>
          <w:szCs w:val="26"/>
          <w:lang w:val="en-GB"/>
        </w:rPr>
        <w:t>/</w:t>
      </w:r>
      <w:r>
        <w:rPr>
          <w:rFonts w:ascii="Times New Roman" w:hAnsi="Times New Roman" w:cs="Times New Roman"/>
          <w:sz w:val="26"/>
          <w:szCs w:val="26"/>
          <w:lang w:val="en-GB"/>
        </w:rPr>
        <w:t>the better</w:t>
      </w:r>
      <w:r w:rsidRPr="000B5583">
        <w:rPr>
          <w:rFonts w:ascii="Times New Roman" w:hAnsi="Times New Roman" w:cs="Times New Roman"/>
          <w:sz w:val="26"/>
          <w:szCs w:val="26"/>
          <w:lang w:val="en-GB"/>
        </w:rPr>
        <w:t xml:space="preserve">” </w:t>
      </w:r>
      <w:r>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Pr>
          <w:rFonts w:ascii="Times New Roman" w:hAnsi="Times New Roman" w:cs="Times New Roman"/>
          <w:sz w:val="26"/>
          <w:szCs w:val="26"/>
          <w:lang w:val="en-GB"/>
        </w:rPr>
        <w:t>GGEI value. The more are the people covered by the covenant, the more ecological is the country, therefore, the greener it appears on the index. The values are expressed in million persons.</w:t>
      </w:r>
    </w:p>
    <w:p w14:paraId="47FCB8E8" w14:textId="454E687C" w:rsidR="001928F3" w:rsidRDefault="001928F3" w:rsidP="001928F3">
      <w:pPr>
        <w:spacing w:line="360" w:lineRule="auto"/>
        <w:rPr>
          <w:rFonts w:ascii="Times New Roman" w:hAnsi="Times New Roman" w:cs="Times New Roman"/>
          <w:sz w:val="26"/>
          <w:szCs w:val="26"/>
          <w:lang w:val="en-GB"/>
        </w:rPr>
      </w:pPr>
    </w:p>
    <w:p w14:paraId="6C0B2C78" w14:textId="02C33A30" w:rsidR="001928F3" w:rsidRDefault="00827C8B" w:rsidP="001928F3">
      <w:pPr>
        <w:spacing w:line="360" w:lineRule="auto"/>
        <w:rPr>
          <w:rFonts w:ascii="Times New Roman" w:hAnsi="Times New Roman" w:cs="Times New Roman"/>
          <w:sz w:val="26"/>
          <w:szCs w:val="26"/>
          <w:lang w:val="en-GB"/>
        </w:rPr>
      </w:pPr>
      <w:r>
        <w:rPr>
          <w:noProof/>
        </w:rPr>
        <w:lastRenderedPageBreak/>
        <w:drawing>
          <wp:inline distT="0" distB="0" distL="0" distR="0" wp14:anchorId="7D1DBE7D" wp14:editId="0E3DCC49">
            <wp:extent cx="6200775" cy="3714750"/>
            <wp:effectExtent l="0" t="0" r="9525" b="0"/>
            <wp:docPr id="8" name="Chart 8">
              <a:extLst xmlns:a="http://schemas.openxmlformats.org/drawingml/2006/main">
                <a:ext uri="{FF2B5EF4-FFF2-40B4-BE49-F238E27FC236}">
                  <a16:creationId xmlns:a16="http://schemas.microsoft.com/office/drawing/2014/main" id="{BFCB35AD-2F3F-4300-A548-68A7DAF4F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2C639D" w14:textId="7E1B7B51" w:rsidR="001928F3" w:rsidRDefault="001928F3"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6</w:t>
      </w:r>
      <w:r w:rsidR="00B557F9">
        <w:rPr>
          <w:rFonts w:ascii="Times New Roman" w:hAnsi="Times New Roman" w:cs="Times New Roman"/>
          <w:sz w:val="26"/>
          <w:szCs w:val="26"/>
          <w:lang w:val="en-GB"/>
        </w:rPr>
        <w:t xml:space="preserve"> – Average CO2 emission per km</w:t>
      </w:r>
      <w:r w:rsidR="00B557F9">
        <w:rPr>
          <w:rFonts w:ascii="Times New Roman" w:hAnsi="Times New Roman" w:cs="Times New Roman"/>
          <w:sz w:val="26"/>
          <w:szCs w:val="26"/>
          <w:lang w:val="en-GB"/>
        </w:rPr>
        <w:t xml:space="preserve"> (source: official statistics)</w:t>
      </w:r>
    </w:p>
    <w:p w14:paraId="3194C6C2" w14:textId="21B0E661" w:rsidR="001928F3" w:rsidRDefault="001928F3" w:rsidP="001928F3">
      <w:pPr>
        <w:spacing w:line="360" w:lineRule="auto"/>
        <w:rPr>
          <w:rFonts w:ascii="Times New Roman" w:hAnsi="Times New Roman" w:cs="Times New Roman"/>
          <w:sz w:val="26"/>
          <w:szCs w:val="26"/>
          <w:lang w:val="en-GB"/>
        </w:rPr>
      </w:pPr>
      <w:r w:rsidRPr="000B5583">
        <w:rPr>
          <w:rFonts w:ascii="Times New Roman" w:hAnsi="Times New Roman" w:cs="Times New Roman"/>
          <w:sz w:val="26"/>
          <w:szCs w:val="26"/>
          <w:lang w:val="en-GB"/>
        </w:rPr>
        <w:t xml:space="preserve">The </w:t>
      </w:r>
      <w:r>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Pr="00060520">
        <w:rPr>
          <w:rFonts w:ascii="Times New Roman" w:hAnsi="Times New Roman" w:cs="Times New Roman"/>
          <w:sz w:val="26"/>
          <w:szCs w:val="26"/>
          <w:lang w:val="en-GB"/>
        </w:rPr>
        <w:t>/</w:t>
      </w:r>
      <w:r>
        <w:rPr>
          <w:rFonts w:ascii="Times New Roman" w:hAnsi="Times New Roman" w:cs="Times New Roman"/>
          <w:sz w:val="26"/>
          <w:szCs w:val="26"/>
          <w:lang w:val="en-GB"/>
        </w:rPr>
        <w:t>the less</w:t>
      </w:r>
      <w:r w:rsidRPr="000B5583">
        <w:rPr>
          <w:rFonts w:ascii="Times New Roman" w:hAnsi="Times New Roman" w:cs="Times New Roman"/>
          <w:sz w:val="26"/>
          <w:szCs w:val="26"/>
          <w:lang w:val="en-GB"/>
        </w:rPr>
        <w:t xml:space="preserve">” </w:t>
      </w:r>
      <w:r>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Pr>
          <w:rFonts w:ascii="Times New Roman" w:hAnsi="Times New Roman" w:cs="Times New Roman"/>
          <w:sz w:val="26"/>
          <w:szCs w:val="26"/>
          <w:lang w:val="en-GB"/>
        </w:rPr>
        <w:t xml:space="preserve">GGEI value. The more is the amount of CO2 emission, the less ecological is the country, therefore, the less green it appears on the index. The values are expressed in gram per </w:t>
      </w:r>
      <w:r w:rsidR="00827C8B">
        <w:rPr>
          <w:rFonts w:ascii="Times New Roman" w:hAnsi="Times New Roman" w:cs="Times New Roman"/>
          <w:sz w:val="26"/>
          <w:szCs w:val="26"/>
          <w:lang w:val="en-GB"/>
        </w:rPr>
        <w:t>kilometre</w:t>
      </w:r>
      <w:r w:rsidR="008D2FEA">
        <w:rPr>
          <w:rFonts w:ascii="Times New Roman" w:hAnsi="Times New Roman" w:cs="Times New Roman"/>
          <w:sz w:val="26"/>
          <w:szCs w:val="26"/>
          <w:lang w:val="en-GB"/>
        </w:rPr>
        <w:t>.</w:t>
      </w:r>
    </w:p>
    <w:p w14:paraId="633E8100" w14:textId="6FE7C3F3" w:rsidR="00827C8B" w:rsidRDefault="00827C8B" w:rsidP="001928F3">
      <w:pPr>
        <w:spacing w:line="360" w:lineRule="auto"/>
        <w:rPr>
          <w:rFonts w:ascii="Times New Roman" w:hAnsi="Times New Roman" w:cs="Times New Roman"/>
          <w:sz w:val="26"/>
          <w:szCs w:val="26"/>
          <w:lang w:val="en-GB"/>
        </w:rPr>
      </w:pPr>
    </w:p>
    <w:p w14:paraId="29553126" w14:textId="34610D1F" w:rsidR="00827C8B" w:rsidRDefault="00827C8B" w:rsidP="001928F3">
      <w:pPr>
        <w:spacing w:line="360" w:lineRule="auto"/>
        <w:rPr>
          <w:rFonts w:ascii="Times New Roman" w:hAnsi="Times New Roman" w:cs="Times New Roman"/>
          <w:sz w:val="26"/>
          <w:szCs w:val="26"/>
          <w:lang w:val="en-GB"/>
        </w:rPr>
      </w:pPr>
      <w:r>
        <w:rPr>
          <w:noProof/>
        </w:rPr>
        <w:lastRenderedPageBreak/>
        <w:drawing>
          <wp:inline distT="0" distB="0" distL="0" distR="0" wp14:anchorId="0A4121A0" wp14:editId="770F5E62">
            <wp:extent cx="5724525" cy="3600450"/>
            <wp:effectExtent l="0" t="0" r="9525" b="0"/>
            <wp:docPr id="9" name="Chart 9">
              <a:extLst xmlns:a="http://schemas.openxmlformats.org/drawingml/2006/main">
                <a:ext uri="{FF2B5EF4-FFF2-40B4-BE49-F238E27FC236}">
                  <a16:creationId xmlns:a16="http://schemas.microsoft.com/office/drawing/2014/main" id="{01294FD6-910D-49B6-A16E-6298B1709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7FB5C8" w14:textId="1BBBD131" w:rsidR="00827C8B" w:rsidRPr="00B557F9" w:rsidRDefault="00827C8B" w:rsidP="001928F3">
      <w:pPr>
        <w:spacing w:line="360" w:lineRule="auto"/>
        <w:rPr>
          <w:rFonts w:ascii="Times New Roman" w:hAnsi="Times New Roman" w:cs="Times New Roman"/>
          <w:b/>
          <w:bCs/>
          <w:sz w:val="26"/>
          <w:szCs w:val="26"/>
          <w:lang w:val="en-GB"/>
        </w:rPr>
      </w:pPr>
      <w:r>
        <w:rPr>
          <w:rFonts w:ascii="Times New Roman" w:hAnsi="Times New Roman" w:cs="Times New Roman"/>
          <w:sz w:val="26"/>
          <w:szCs w:val="26"/>
          <w:lang w:val="en-GB"/>
        </w:rPr>
        <w:t>Fig Nr7</w:t>
      </w:r>
      <w:r w:rsidR="00B557F9">
        <w:rPr>
          <w:rFonts w:ascii="Times New Roman" w:hAnsi="Times New Roman" w:cs="Times New Roman"/>
          <w:sz w:val="26"/>
          <w:szCs w:val="26"/>
          <w:lang w:val="en-GB"/>
        </w:rPr>
        <w:t xml:space="preserve"> – Estimated GEEI based on similarity analysis</w:t>
      </w:r>
      <w:r w:rsidR="00B557F9">
        <w:rPr>
          <w:rFonts w:ascii="Times New Roman" w:hAnsi="Times New Roman" w:cs="Times New Roman"/>
          <w:sz w:val="26"/>
          <w:szCs w:val="26"/>
          <w:lang w:val="en-GB"/>
        </w:rPr>
        <w:t xml:space="preserve"> (source: official statistics)</w:t>
      </w:r>
    </w:p>
    <w:p w14:paraId="5E088E1F" w14:textId="610A4598" w:rsidR="00114F82" w:rsidRDefault="00114F82"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With the collected data from Eurostat, we re-created the green economy index. </w:t>
      </w:r>
      <w:r w:rsidR="00AD3ED3">
        <w:rPr>
          <w:rFonts w:ascii="Times New Roman" w:hAnsi="Times New Roman" w:cs="Times New Roman"/>
          <w:sz w:val="26"/>
          <w:szCs w:val="26"/>
          <w:lang w:val="en-GB"/>
        </w:rPr>
        <w:t>Which was then compared to the first.</w:t>
      </w:r>
    </w:p>
    <w:p w14:paraId="621CC011" w14:textId="040142F1" w:rsidR="00AD3ED3" w:rsidRDefault="00AD3ED3" w:rsidP="001928F3">
      <w:pPr>
        <w:spacing w:line="360" w:lineRule="auto"/>
        <w:rPr>
          <w:rFonts w:ascii="Times New Roman" w:hAnsi="Times New Roman" w:cs="Times New Roman"/>
          <w:sz w:val="26"/>
          <w:szCs w:val="26"/>
          <w:lang w:val="en-GB"/>
        </w:rPr>
      </w:pPr>
    </w:p>
    <w:p w14:paraId="3F71C735" w14:textId="15BC39A2" w:rsidR="00AD3ED3" w:rsidRDefault="00AD3ED3" w:rsidP="001928F3">
      <w:pPr>
        <w:spacing w:line="360" w:lineRule="auto"/>
        <w:rPr>
          <w:rFonts w:ascii="Times New Roman" w:hAnsi="Times New Roman" w:cs="Times New Roman"/>
          <w:sz w:val="26"/>
          <w:szCs w:val="26"/>
          <w:lang w:val="en-GB"/>
        </w:rPr>
      </w:pPr>
      <w:r>
        <w:rPr>
          <w:noProof/>
        </w:rPr>
        <w:drawing>
          <wp:inline distT="0" distB="0" distL="0" distR="0" wp14:anchorId="254A330D" wp14:editId="337E7787">
            <wp:extent cx="5915025" cy="3209925"/>
            <wp:effectExtent l="0" t="0" r="9525" b="9525"/>
            <wp:docPr id="10" name="Chart 10">
              <a:extLst xmlns:a="http://schemas.openxmlformats.org/drawingml/2006/main">
                <a:ext uri="{FF2B5EF4-FFF2-40B4-BE49-F238E27FC236}">
                  <a16:creationId xmlns:a16="http://schemas.microsoft.com/office/drawing/2014/main" id="{76722367-D561-46E3-8BE5-602A5ACB0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FBA92E" w14:textId="5040465B" w:rsidR="00AD3ED3" w:rsidRDefault="00AD3ED3"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Nr8 Chart comparison: GGEI 2018 vs estimated GGEI</w:t>
      </w:r>
      <w:r w:rsidR="00B557F9">
        <w:rPr>
          <w:rFonts w:ascii="Times New Roman" w:hAnsi="Times New Roman" w:cs="Times New Roman"/>
          <w:sz w:val="26"/>
          <w:szCs w:val="26"/>
          <w:lang w:val="en-GB"/>
        </w:rPr>
        <w:t xml:space="preserve"> (source: own presentation)</w:t>
      </w:r>
    </w:p>
    <w:p w14:paraId="57DB3647" w14:textId="070E6FE7" w:rsidR="00DB74AC" w:rsidRDefault="00DB74AC"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 xml:space="preserve">On the chart, it is obvious that the </w:t>
      </w:r>
      <w:r w:rsidRPr="00DB74AC">
        <w:rPr>
          <w:rFonts w:ascii="Times New Roman" w:hAnsi="Times New Roman" w:cs="Times New Roman"/>
          <w:sz w:val="26"/>
          <w:szCs w:val="26"/>
          <w:lang w:val="en-GB"/>
        </w:rPr>
        <w:t xml:space="preserve">values </w:t>
      </w:r>
      <w:r>
        <w:rPr>
          <w:rFonts w:ascii="Times New Roman" w:hAnsi="Times New Roman" w:cs="Times New Roman"/>
          <w:sz w:val="26"/>
          <w:szCs w:val="26"/>
          <w:lang w:val="en-GB"/>
        </w:rPr>
        <w:t xml:space="preserve">almost </w:t>
      </w:r>
      <w:r w:rsidRPr="00DB74AC">
        <w:rPr>
          <w:rFonts w:ascii="Times New Roman" w:hAnsi="Times New Roman" w:cs="Times New Roman"/>
          <w:sz w:val="26"/>
          <w:szCs w:val="26"/>
          <w:lang w:val="en-GB"/>
        </w:rPr>
        <w:t>coincide, except for a few countries</w:t>
      </w:r>
      <w:r>
        <w:rPr>
          <w:rFonts w:ascii="Times New Roman" w:hAnsi="Times New Roman" w:cs="Times New Roman"/>
          <w:sz w:val="26"/>
          <w:szCs w:val="26"/>
          <w:lang w:val="en-GB"/>
        </w:rPr>
        <w:t>, which are Austria, Czech Republic, Slovakia, Ireland and United Kingdom. These countries case is going to be explained later in the publication.</w:t>
      </w:r>
    </w:p>
    <w:p w14:paraId="13C0D8A3" w14:textId="77777777" w:rsidR="00B557F9" w:rsidRDefault="00B557F9" w:rsidP="002A6FCA">
      <w:pPr>
        <w:spacing w:line="360" w:lineRule="auto"/>
        <w:rPr>
          <w:rFonts w:ascii="Times New Roman" w:hAnsi="Times New Roman" w:cs="Times New Roman"/>
          <w:sz w:val="26"/>
          <w:szCs w:val="26"/>
          <w:lang w:val="en-GB"/>
        </w:rPr>
      </w:pPr>
      <w:r>
        <w:rPr>
          <w:noProof/>
        </w:rPr>
        <w:drawing>
          <wp:inline distT="0" distB="0" distL="0" distR="0" wp14:anchorId="6D00AE4A" wp14:editId="4E2B3CE6">
            <wp:extent cx="3803845" cy="6807550"/>
            <wp:effectExtent l="0" t="0" r="635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3845" cy="6807550"/>
                    </a:xfrm>
                    <a:prstGeom prst="rect">
                      <a:avLst/>
                    </a:prstGeom>
                  </pic:spPr>
                </pic:pic>
              </a:graphicData>
            </a:graphic>
          </wp:inline>
        </w:drawing>
      </w:r>
    </w:p>
    <w:p w14:paraId="10FF8F56" w14:textId="6BCC32AC" w:rsidR="00017D8A" w:rsidRDefault="00AD3ED3"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w:t>
      </w:r>
      <w:r w:rsidR="00956C00">
        <w:rPr>
          <w:rFonts w:ascii="Times New Roman" w:hAnsi="Times New Roman" w:cs="Times New Roman"/>
          <w:sz w:val="26"/>
          <w:szCs w:val="26"/>
          <w:lang w:val="en-GB"/>
        </w:rPr>
        <w:t>9 Table</w:t>
      </w:r>
      <w:r>
        <w:rPr>
          <w:rFonts w:ascii="Times New Roman" w:hAnsi="Times New Roman" w:cs="Times New Roman"/>
          <w:sz w:val="26"/>
          <w:szCs w:val="26"/>
          <w:lang w:val="en-GB"/>
        </w:rPr>
        <w:t xml:space="preserve"> </w:t>
      </w:r>
      <w:r w:rsidR="00956C00">
        <w:rPr>
          <w:rFonts w:ascii="Times New Roman" w:hAnsi="Times New Roman" w:cs="Times New Roman"/>
          <w:sz w:val="26"/>
          <w:szCs w:val="26"/>
          <w:lang w:val="en-GB"/>
        </w:rPr>
        <w:t>comparison:</w:t>
      </w:r>
      <w:r>
        <w:rPr>
          <w:rFonts w:ascii="Times New Roman" w:hAnsi="Times New Roman" w:cs="Times New Roman"/>
          <w:sz w:val="26"/>
          <w:szCs w:val="26"/>
          <w:lang w:val="en-GB"/>
        </w:rPr>
        <w:t xml:space="preserve"> GGEI 2018 vs estimated GGE</w:t>
      </w:r>
    </w:p>
    <w:p w14:paraId="4EFC0192" w14:textId="2B5B41CA" w:rsidR="00DB1EEA" w:rsidRDefault="00DB1EEA" w:rsidP="002A6FCA">
      <w:pPr>
        <w:spacing w:line="360" w:lineRule="auto"/>
        <w:rPr>
          <w:rFonts w:ascii="Times New Roman" w:hAnsi="Times New Roman" w:cs="Times New Roman"/>
          <w:sz w:val="26"/>
          <w:szCs w:val="26"/>
          <w:lang w:val="en-GB"/>
        </w:rPr>
      </w:pPr>
      <w:r w:rsidRPr="00DB1EEA">
        <w:rPr>
          <w:rFonts w:ascii="Times New Roman" w:hAnsi="Times New Roman" w:cs="Times New Roman"/>
          <w:sz w:val="26"/>
          <w:szCs w:val="26"/>
          <w:lang w:val="en-GB"/>
        </w:rPr>
        <w:t>This table presents the</w:t>
      </w:r>
      <w:r>
        <w:rPr>
          <w:rFonts w:ascii="Times New Roman" w:hAnsi="Times New Roman" w:cs="Times New Roman"/>
          <w:sz w:val="26"/>
          <w:szCs w:val="26"/>
          <w:lang w:val="en-GB"/>
        </w:rPr>
        <w:t xml:space="preserve"> same</w:t>
      </w:r>
      <w:r w:rsidRPr="00DB1EEA">
        <w:rPr>
          <w:rFonts w:ascii="Times New Roman" w:hAnsi="Times New Roman" w:cs="Times New Roman"/>
          <w:sz w:val="26"/>
          <w:szCs w:val="26"/>
          <w:lang w:val="en-GB"/>
        </w:rPr>
        <w:t xml:space="preserve"> comparison </w:t>
      </w:r>
      <w:r w:rsidR="00B557F9">
        <w:rPr>
          <w:rFonts w:ascii="Times New Roman" w:hAnsi="Times New Roman" w:cs="Times New Roman"/>
          <w:sz w:val="26"/>
          <w:szCs w:val="26"/>
          <w:lang w:val="en-GB"/>
        </w:rPr>
        <w:t xml:space="preserve">in </w:t>
      </w:r>
      <w:proofErr w:type="gramStart"/>
      <w:r w:rsidR="00B557F9">
        <w:rPr>
          <w:rFonts w:ascii="Times New Roman" w:hAnsi="Times New Roman" w:cs="Times New Roman"/>
          <w:sz w:val="26"/>
          <w:szCs w:val="26"/>
          <w:lang w:val="en-GB"/>
        </w:rPr>
        <w:t>details</w:t>
      </w:r>
      <w:proofErr w:type="gramEnd"/>
      <w:r w:rsidR="00B557F9">
        <w:rPr>
          <w:rFonts w:ascii="Times New Roman" w:hAnsi="Times New Roman" w:cs="Times New Roman"/>
          <w:sz w:val="26"/>
          <w:szCs w:val="26"/>
          <w:lang w:val="en-GB"/>
        </w:rPr>
        <w:t>:</w:t>
      </w:r>
    </w:p>
    <w:p w14:paraId="09F30CBB" w14:textId="4C3C091F" w:rsidR="00956C00" w:rsidRDefault="00956C00" w:rsidP="002A6FCA">
      <w:pPr>
        <w:spacing w:line="360" w:lineRule="auto"/>
        <w:rPr>
          <w:rFonts w:ascii="Times New Roman" w:hAnsi="Times New Roman" w:cs="Times New Roman"/>
          <w:sz w:val="26"/>
          <w:szCs w:val="26"/>
          <w:lang w:val="en-GB"/>
        </w:rPr>
      </w:pPr>
    </w:p>
    <w:p w14:paraId="3636C407" w14:textId="2C8B0BC5" w:rsidR="00956C00" w:rsidRDefault="00956C00" w:rsidP="002A6FCA">
      <w:pPr>
        <w:spacing w:line="360" w:lineRule="auto"/>
        <w:rPr>
          <w:rFonts w:ascii="Times New Roman" w:hAnsi="Times New Roman" w:cs="Times New Roman"/>
          <w:sz w:val="26"/>
          <w:szCs w:val="26"/>
          <w:lang w:val="en-GB"/>
        </w:rPr>
      </w:pPr>
      <w:r w:rsidRPr="00956C00">
        <w:rPr>
          <w:noProof/>
        </w:rPr>
        <w:drawing>
          <wp:inline distT="0" distB="0" distL="0" distR="0" wp14:anchorId="7CC11AD8" wp14:editId="30290D15">
            <wp:extent cx="5731510" cy="41128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112895"/>
                    </a:xfrm>
                    <a:prstGeom prst="rect">
                      <a:avLst/>
                    </a:prstGeom>
                    <a:noFill/>
                    <a:ln>
                      <a:noFill/>
                    </a:ln>
                  </pic:spPr>
                </pic:pic>
              </a:graphicData>
            </a:graphic>
          </wp:inline>
        </w:drawing>
      </w:r>
    </w:p>
    <w:p w14:paraId="6D4F4A79" w14:textId="705D4EE8" w:rsidR="00542A55" w:rsidRDefault="00542A55"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Nr10 Raw data</w:t>
      </w:r>
      <w:r w:rsidR="00B557F9">
        <w:rPr>
          <w:rFonts w:ascii="Times New Roman" w:hAnsi="Times New Roman" w:cs="Times New Roman"/>
          <w:sz w:val="26"/>
          <w:szCs w:val="26"/>
          <w:lang w:val="en-GB"/>
        </w:rPr>
        <w:t xml:space="preserve"> (source: own presentation)</w:t>
      </w:r>
    </w:p>
    <w:p w14:paraId="6BA7C90D" w14:textId="435A45DE" w:rsidR="00DB1EEA" w:rsidRDefault="00DB1EE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The dataset above contains</w:t>
      </w:r>
      <w:r w:rsidRPr="00DB1EEA">
        <w:rPr>
          <w:rFonts w:ascii="Times New Roman" w:hAnsi="Times New Roman" w:cs="Times New Roman"/>
          <w:sz w:val="26"/>
          <w:szCs w:val="26"/>
          <w:lang w:val="en-GB"/>
        </w:rPr>
        <w:t xml:space="preserve"> all the chosen and assembled data, before the ranking</w:t>
      </w:r>
      <w:r>
        <w:rPr>
          <w:rFonts w:ascii="Times New Roman" w:hAnsi="Times New Roman" w:cs="Times New Roman"/>
          <w:sz w:val="26"/>
          <w:szCs w:val="26"/>
          <w:lang w:val="en-GB"/>
        </w:rPr>
        <w:t xml:space="preserve">. </w:t>
      </w:r>
    </w:p>
    <w:p w14:paraId="7A8A41CA" w14:textId="7F41EC5A" w:rsidR="00542A55" w:rsidRDefault="00542A55" w:rsidP="002A6FCA">
      <w:pPr>
        <w:spacing w:line="360" w:lineRule="auto"/>
        <w:rPr>
          <w:rFonts w:ascii="Times New Roman" w:hAnsi="Times New Roman" w:cs="Times New Roman"/>
          <w:sz w:val="26"/>
          <w:szCs w:val="26"/>
          <w:lang w:val="en-GB"/>
        </w:rPr>
      </w:pPr>
      <w:r w:rsidRPr="00542A55">
        <w:rPr>
          <w:noProof/>
        </w:rPr>
        <w:lastRenderedPageBreak/>
        <w:drawing>
          <wp:inline distT="0" distB="0" distL="0" distR="0" wp14:anchorId="005EDB78" wp14:editId="039E2623">
            <wp:extent cx="6437630" cy="3867143"/>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6169" cy="3878280"/>
                    </a:xfrm>
                    <a:prstGeom prst="rect">
                      <a:avLst/>
                    </a:prstGeom>
                    <a:noFill/>
                    <a:ln>
                      <a:noFill/>
                    </a:ln>
                  </pic:spPr>
                </pic:pic>
              </a:graphicData>
            </a:graphic>
          </wp:inline>
        </w:drawing>
      </w:r>
    </w:p>
    <w:p w14:paraId="18B7D74E" w14:textId="41E99870" w:rsidR="00095F1B" w:rsidRDefault="00542A55"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Nr11: Ranked data with visual effects</w:t>
      </w:r>
      <w:r w:rsidR="00B557F9">
        <w:rPr>
          <w:rFonts w:ascii="Times New Roman" w:hAnsi="Times New Roman" w:cs="Times New Roman"/>
          <w:sz w:val="26"/>
          <w:szCs w:val="26"/>
          <w:lang w:val="en-GB"/>
        </w:rPr>
        <w:t xml:space="preserve"> </w:t>
      </w:r>
      <w:r w:rsidR="00B557F9">
        <w:rPr>
          <w:rFonts w:ascii="Times New Roman" w:hAnsi="Times New Roman" w:cs="Times New Roman"/>
          <w:sz w:val="26"/>
          <w:szCs w:val="26"/>
          <w:lang w:val="en-GB"/>
        </w:rPr>
        <w:t>(source: own presentation)</w:t>
      </w:r>
    </w:p>
    <w:p w14:paraId="5CC23D8C" w14:textId="28E93AAB" w:rsidR="00095F1B" w:rsidRDefault="00121CC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After processing the chosen data, as well as ranking, the estimated GGEI appears on the </w:t>
      </w:r>
      <w:r w:rsidR="00B255F4">
        <w:rPr>
          <w:rFonts w:ascii="Times New Roman" w:hAnsi="Times New Roman" w:cs="Times New Roman"/>
          <w:sz w:val="26"/>
          <w:szCs w:val="26"/>
          <w:lang w:val="en-GB"/>
        </w:rPr>
        <w:t>table,</w:t>
      </w:r>
      <w:r>
        <w:rPr>
          <w:rFonts w:ascii="Times New Roman" w:hAnsi="Times New Roman" w:cs="Times New Roman"/>
          <w:sz w:val="26"/>
          <w:szCs w:val="26"/>
          <w:lang w:val="en-GB"/>
        </w:rPr>
        <w:t xml:space="preserve"> followed by the observation of </w:t>
      </w:r>
      <w:r w:rsidR="00151A20">
        <w:rPr>
          <w:rFonts w:ascii="Times New Roman" w:hAnsi="Times New Roman" w:cs="Times New Roman"/>
          <w:sz w:val="26"/>
          <w:szCs w:val="26"/>
          <w:lang w:val="en-GB"/>
        </w:rPr>
        <w:t xml:space="preserve">the difference between the GGEI </w:t>
      </w:r>
      <w:r w:rsidR="00EE3962">
        <w:rPr>
          <w:rFonts w:ascii="Times New Roman" w:hAnsi="Times New Roman" w:cs="Times New Roman"/>
          <w:sz w:val="26"/>
          <w:szCs w:val="26"/>
          <w:lang w:val="en-GB"/>
        </w:rPr>
        <w:t>2018 results and the estimated GGEI.</w:t>
      </w:r>
      <w:r>
        <w:rPr>
          <w:rFonts w:ascii="Times New Roman" w:hAnsi="Times New Roman" w:cs="Times New Roman"/>
          <w:sz w:val="26"/>
          <w:szCs w:val="26"/>
          <w:lang w:val="en-GB"/>
        </w:rPr>
        <w:t xml:space="preserve"> </w:t>
      </w:r>
    </w:p>
    <w:p w14:paraId="771BDC41" w14:textId="19964223" w:rsidR="00091939" w:rsidRDefault="00091939" w:rsidP="002A6FCA">
      <w:pPr>
        <w:spacing w:line="360" w:lineRule="auto"/>
        <w:rPr>
          <w:rFonts w:ascii="Times New Roman" w:hAnsi="Times New Roman" w:cs="Times New Roman"/>
          <w:sz w:val="26"/>
          <w:szCs w:val="26"/>
          <w:lang w:val="en-GB"/>
        </w:rPr>
      </w:pPr>
      <w:r w:rsidRPr="00091939">
        <w:rPr>
          <w:noProof/>
        </w:rPr>
        <w:lastRenderedPageBreak/>
        <w:drawing>
          <wp:inline distT="0" distB="0" distL="0" distR="0" wp14:anchorId="0BD4D4D9" wp14:editId="1C661A4A">
            <wp:extent cx="6466840"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3446" cy="3890170"/>
                    </a:xfrm>
                    <a:prstGeom prst="rect">
                      <a:avLst/>
                    </a:prstGeom>
                    <a:noFill/>
                    <a:ln>
                      <a:noFill/>
                    </a:ln>
                  </pic:spPr>
                </pic:pic>
              </a:graphicData>
            </a:graphic>
          </wp:inline>
        </w:drawing>
      </w:r>
    </w:p>
    <w:p w14:paraId="3473EF7D" w14:textId="78CD9BFF" w:rsidR="00F77130" w:rsidRDefault="00F77130"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Nr12 Model</w:t>
      </w:r>
      <w:r w:rsidR="00B557F9">
        <w:rPr>
          <w:rFonts w:ascii="Times New Roman" w:hAnsi="Times New Roman" w:cs="Times New Roman"/>
          <w:sz w:val="26"/>
          <w:szCs w:val="26"/>
          <w:lang w:val="en-GB"/>
        </w:rPr>
        <w:t xml:space="preserve"> </w:t>
      </w:r>
      <w:r w:rsidR="00B557F9">
        <w:rPr>
          <w:rFonts w:ascii="Times New Roman" w:hAnsi="Times New Roman" w:cs="Times New Roman"/>
          <w:sz w:val="26"/>
          <w:szCs w:val="26"/>
          <w:lang w:val="en-GB"/>
        </w:rPr>
        <w:t>(source: own presentation)</w:t>
      </w:r>
    </w:p>
    <w:p w14:paraId="14576EC3" w14:textId="7BA3AF8E" w:rsidR="00F77130" w:rsidRDefault="00F77130" w:rsidP="002A6FCA">
      <w:pPr>
        <w:spacing w:line="360" w:lineRule="auto"/>
      </w:pPr>
      <w:r>
        <w:rPr>
          <w:rFonts w:ascii="Times New Roman" w:hAnsi="Times New Roman" w:cs="Times New Roman"/>
          <w:sz w:val="26"/>
          <w:szCs w:val="26"/>
          <w:lang w:val="en-GB"/>
        </w:rPr>
        <w:t xml:space="preserve">Modelling URL: </w:t>
      </w:r>
      <w:hyperlink r:id="rId24" w:tgtFrame="_blank" w:history="1">
        <w:r w:rsidRPr="00F77130">
          <w:rPr>
            <w:color w:val="0000FF"/>
            <w:u w:val="single"/>
          </w:rPr>
          <w:t>https://miau.my-x.hu/myx-free/coco/beker_std.php</w:t>
        </w:r>
      </w:hyperlink>
      <w:r>
        <w:t xml:space="preserve"> </w:t>
      </w:r>
    </w:p>
    <w:p w14:paraId="4E70D359" w14:textId="1E512939" w:rsidR="00F662AC" w:rsidRPr="00B557F9" w:rsidRDefault="00DE7733" w:rsidP="002A6FCA">
      <w:pPr>
        <w:spacing w:line="360" w:lineRule="auto"/>
        <w:rPr>
          <w:lang w:val="en-GB"/>
        </w:rPr>
      </w:pPr>
      <w:r w:rsidRPr="00B557F9">
        <w:rPr>
          <w:lang w:val="en-GB"/>
        </w:rPr>
        <w:t xml:space="preserve">Remarks </w:t>
      </w:r>
      <w:proofErr w:type="spellStart"/>
      <w:r w:rsidRPr="00B557F9">
        <w:rPr>
          <w:lang w:val="en-GB"/>
        </w:rPr>
        <w:t xml:space="preserve">tot </w:t>
      </w:r>
      <w:proofErr w:type="gramStart"/>
      <w:r w:rsidRPr="00B557F9">
        <w:rPr>
          <w:lang w:val="en-GB"/>
        </w:rPr>
        <w:t>he</w:t>
      </w:r>
      <w:proofErr w:type="spellEnd"/>
      <w:proofErr w:type="gramEnd"/>
      <w:r w:rsidRPr="00B557F9">
        <w:rPr>
          <w:lang w:val="en-GB"/>
        </w:rPr>
        <w:t xml:space="preserve"> countries having the highest estimation errors:</w:t>
      </w:r>
    </w:p>
    <w:p w14:paraId="2AA73FCF" w14:textId="327661B1" w:rsidR="00DE7733" w:rsidRPr="00B557F9" w:rsidRDefault="00B557F9" w:rsidP="00DE7733">
      <w:pPr>
        <w:spacing w:line="360" w:lineRule="auto"/>
        <w:rPr>
          <w:lang w:val="en-GB"/>
        </w:rPr>
      </w:pPr>
      <w:r>
        <w:rPr>
          <w:lang w:val="en-GB"/>
        </w:rPr>
        <w:t xml:space="preserve">If somebody makes </w:t>
      </w:r>
      <w:r w:rsidR="00DE7733" w:rsidRPr="00B557F9">
        <w:rPr>
          <w:lang w:val="en-GB"/>
        </w:rPr>
        <w:t>a look back to the years based on what the GGEI was calculated,</w:t>
      </w:r>
      <w:r w:rsidR="00DE7733" w:rsidRPr="00B557F9">
        <w:rPr>
          <w:lang w:val="en-GB"/>
        </w:rPr>
        <w:t xml:space="preserve"> </w:t>
      </w:r>
      <w:r w:rsidR="00DE7733" w:rsidRPr="00B557F9">
        <w:rPr>
          <w:lang w:val="en-GB"/>
        </w:rPr>
        <w:t>particularly for the countries we are discussing,</w:t>
      </w:r>
      <w:r w:rsidR="00DE7733" w:rsidRPr="00B557F9">
        <w:rPr>
          <w:lang w:val="en-GB"/>
        </w:rPr>
        <w:t xml:space="preserve"> </w:t>
      </w:r>
      <w:r w:rsidR="00DE7733" w:rsidRPr="00B557F9">
        <w:rPr>
          <w:lang w:val="en-GB"/>
        </w:rPr>
        <w:t>Austria's GGEI results was based on the range 2010-2018, the picked years</w:t>
      </w:r>
      <w:r w:rsidR="00DE7733" w:rsidRPr="00B557F9">
        <w:rPr>
          <w:lang w:val="en-GB"/>
        </w:rPr>
        <w:t xml:space="preserve"> </w:t>
      </w:r>
      <w:r w:rsidR="00DE7733" w:rsidRPr="00B557F9">
        <w:rPr>
          <w:lang w:val="en-GB"/>
        </w:rPr>
        <w:t>for the attributes are in the time frame, however, for the attribute "Market share of the largest generator in the electricity market - as a</w:t>
      </w:r>
      <w:r w:rsidR="00DE7733" w:rsidRPr="00B557F9">
        <w:rPr>
          <w:lang w:val="en-GB"/>
        </w:rPr>
        <w:t xml:space="preserve"> </w:t>
      </w:r>
      <w:r w:rsidR="00DE7733" w:rsidRPr="00B557F9">
        <w:rPr>
          <w:lang w:val="en-GB"/>
        </w:rPr>
        <w:t>percentage of the total generation", the are no data except for 2011 and</w:t>
      </w:r>
      <w:r w:rsidR="00DE7733" w:rsidRPr="00B557F9">
        <w:rPr>
          <w:lang w:val="en-GB"/>
        </w:rPr>
        <w:t xml:space="preserve"> </w:t>
      </w:r>
      <w:r w:rsidR="00DE7733" w:rsidRPr="00B557F9">
        <w:rPr>
          <w:lang w:val="en-GB"/>
        </w:rPr>
        <w:t>2012, so, I used those. Same issue for UK, the available data were 2012 and</w:t>
      </w:r>
      <w:r w:rsidR="00DE7733" w:rsidRPr="00B557F9">
        <w:rPr>
          <w:lang w:val="en-GB"/>
        </w:rPr>
        <w:t xml:space="preserve"> </w:t>
      </w:r>
      <w:r w:rsidR="00DE7733" w:rsidRPr="00B557F9">
        <w:rPr>
          <w:lang w:val="en-GB"/>
        </w:rPr>
        <w:t>2013, the later years' data are not available on the table. While for the</w:t>
      </w:r>
      <w:r w:rsidR="00DE7733" w:rsidRPr="00B557F9">
        <w:rPr>
          <w:lang w:val="en-GB"/>
        </w:rPr>
        <w:t xml:space="preserve"> </w:t>
      </w:r>
      <w:r w:rsidR="00DE7733" w:rsidRPr="00B557F9">
        <w:rPr>
          <w:lang w:val="en-GB"/>
        </w:rPr>
        <w:t>rest of the countries on the list had the 2016-2017 data.</w:t>
      </w:r>
      <w:r w:rsidR="00DE7733" w:rsidRPr="00B557F9">
        <w:rPr>
          <w:lang w:val="en-GB"/>
        </w:rPr>
        <w:t xml:space="preserve"> </w:t>
      </w:r>
      <w:r w:rsidR="00DE7733" w:rsidRPr="00B557F9">
        <w:rPr>
          <w:lang w:val="en-GB"/>
        </w:rPr>
        <w:t>Moreover, Slovakia's GGEI was calculated based on only one year: 2018.</w:t>
      </w:r>
      <w:r w:rsidR="00DE7733" w:rsidRPr="00B557F9">
        <w:rPr>
          <w:lang w:val="en-GB"/>
        </w:rPr>
        <w:t xml:space="preserve"> </w:t>
      </w:r>
      <w:r w:rsidR="00DE7733" w:rsidRPr="00B557F9">
        <w:rPr>
          <w:lang w:val="en-GB"/>
        </w:rPr>
        <w:t>While the database I created contained more data for this country.</w:t>
      </w:r>
    </w:p>
    <w:p w14:paraId="43A7A14B" w14:textId="77777777" w:rsidR="002907F5" w:rsidRDefault="002907F5">
      <w:pPr>
        <w:rPr>
          <w:rFonts w:ascii="Times New Roman" w:hAnsi="Times New Roman" w:cs="Times New Roman"/>
          <w:sz w:val="26"/>
          <w:szCs w:val="26"/>
          <w:lang w:val="en-GB"/>
        </w:rPr>
      </w:pPr>
      <w:r>
        <w:rPr>
          <w:rFonts w:ascii="Times New Roman" w:hAnsi="Times New Roman" w:cs="Times New Roman"/>
          <w:sz w:val="26"/>
          <w:szCs w:val="26"/>
          <w:lang w:val="en-GB"/>
        </w:rPr>
        <w:br w:type="page"/>
      </w:r>
    </w:p>
    <w:p w14:paraId="3D940398" w14:textId="71757F75" w:rsidR="00F77130" w:rsidRPr="00B557F9" w:rsidRDefault="00F77130" w:rsidP="002A6FCA">
      <w:pPr>
        <w:spacing w:line="360" w:lineRule="auto"/>
        <w:rPr>
          <w:rFonts w:ascii="Times New Roman" w:hAnsi="Times New Roman" w:cs="Times New Roman"/>
          <w:sz w:val="26"/>
          <w:szCs w:val="26"/>
          <w:lang w:val="en-GB"/>
        </w:rPr>
      </w:pPr>
      <w:bookmarkStart w:id="2" w:name="_GoBack"/>
      <w:bookmarkEnd w:id="2"/>
      <w:r w:rsidRPr="00B557F9">
        <w:rPr>
          <w:rFonts w:ascii="Times New Roman" w:hAnsi="Times New Roman" w:cs="Times New Roman"/>
          <w:sz w:val="26"/>
          <w:szCs w:val="26"/>
          <w:lang w:val="en-GB"/>
        </w:rPr>
        <w:lastRenderedPageBreak/>
        <w:t>Conclusion</w:t>
      </w:r>
    </w:p>
    <w:p w14:paraId="77539EF5" w14:textId="4E54932F" w:rsidR="00F77130" w:rsidRDefault="00F77130"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The Global Green Economy Index</w:t>
      </w:r>
      <w:r w:rsidR="00E37F7E">
        <w:rPr>
          <w:rFonts w:ascii="Times New Roman" w:hAnsi="Times New Roman" w:cs="Times New Roman"/>
          <w:sz w:val="26"/>
          <w:szCs w:val="26"/>
          <w:lang w:val="en-GB"/>
        </w:rPr>
        <w:t xml:space="preserve"> (GGEI)</w:t>
      </w:r>
      <w:r>
        <w:rPr>
          <w:rFonts w:ascii="Times New Roman" w:hAnsi="Times New Roman" w:cs="Times New Roman"/>
          <w:sz w:val="26"/>
          <w:szCs w:val="26"/>
          <w:lang w:val="en-GB"/>
        </w:rPr>
        <w:t xml:space="preserve"> </w:t>
      </w:r>
      <w:r w:rsidR="00E37F7E">
        <w:rPr>
          <w:rFonts w:ascii="Times New Roman" w:hAnsi="Times New Roman" w:cs="Times New Roman"/>
          <w:sz w:val="26"/>
          <w:szCs w:val="26"/>
          <w:lang w:val="en-GB"/>
        </w:rPr>
        <w:t xml:space="preserve">2018 </w:t>
      </w:r>
      <w:r>
        <w:rPr>
          <w:rFonts w:ascii="Times New Roman" w:hAnsi="Times New Roman" w:cs="Times New Roman"/>
          <w:sz w:val="26"/>
          <w:szCs w:val="26"/>
          <w:lang w:val="en-GB"/>
        </w:rPr>
        <w:t xml:space="preserve">had been reconstructed and the new result </w:t>
      </w:r>
      <w:r w:rsidR="00485FE3">
        <w:rPr>
          <w:rFonts w:ascii="Times New Roman" w:hAnsi="Times New Roman" w:cs="Times New Roman"/>
          <w:sz w:val="26"/>
          <w:szCs w:val="26"/>
          <w:lang w:val="en-GB"/>
        </w:rPr>
        <w:t>is close to the first. The picked years influenced</w:t>
      </w:r>
      <w:r w:rsidR="00E37F7E">
        <w:rPr>
          <w:rFonts w:ascii="Times New Roman" w:hAnsi="Times New Roman" w:cs="Times New Roman"/>
          <w:sz w:val="26"/>
          <w:szCs w:val="26"/>
          <w:lang w:val="en-GB"/>
        </w:rPr>
        <w:t xml:space="preserve"> the new result. The GGEI 2018 is based on a certain range of years -for example for Greece, a range of 2010 to 2018</w:t>
      </w:r>
      <w:r w:rsidR="00013F07">
        <w:rPr>
          <w:rFonts w:ascii="Times New Roman" w:hAnsi="Times New Roman" w:cs="Times New Roman"/>
          <w:sz w:val="26"/>
          <w:szCs w:val="26"/>
          <w:lang w:val="en-GB"/>
        </w:rPr>
        <w:t>; Hungary,2016 to 2018 – some of the years were not taken into account, nevertheless, the result turned out to be the same for the countries mentioned above. This could mean that most of the countries had the same trend in their “greenness” over a certain number of years. Nonetheless, some countries</w:t>
      </w:r>
      <w:r w:rsidR="002168CA">
        <w:rPr>
          <w:rFonts w:ascii="Times New Roman" w:hAnsi="Times New Roman" w:cs="Times New Roman"/>
          <w:sz w:val="26"/>
          <w:szCs w:val="26"/>
          <w:lang w:val="en-GB"/>
        </w:rPr>
        <w:t xml:space="preserve"> </w:t>
      </w:r>
      <w:proofErr w:type="gramStart"/>
      <w:r w:rsidR="002168CA">
        <w:rPr>
          <w:rFonts w:ascii="Times New Roman" w:hAnsi="Times New Roman" w:cs="Times New Roman"/>
          <w:sz w:val="26"/>
          <w:szCs w:val="26"/>
          <w:lang w:val="en-GB"/>
        </w:rPr>
        <w:t>( Austria</w:t>
      </w:r>
      <w:proofErr w:type="gramEnd"/>
      <w:r w:rsidR="002168CA">
        <w:rPr>
          <w:rFonts w:ascii="Times New Roman" w:hAnsi="Times New Roman" w:cs="Times New Roman"/>
          <w:sz w:val="26"/>
          <w:szCs w:val="26"/>
          <w:lang w:val="en-GB"/>
        </w:rPr>
        <w:t>, Czech Republic, Ireland, Slovakia-whose GGEI was given only for 2018, unlike the reconstruction which ranged previous years as well- and UK)</w:t>
      </w:r>
      <w:r w:rsidR="00013F07">
        <w:rPr>
          <w:rFonts w:ascii="Times New Roman" w:hAnsi="Times New Roman" w:cs="Times New Roman"/>
          <w:sz w:val="26"/>
          <w:szCs w:val="26"/>
          <w:lang w:val="en-GB"/>
        </w:rPr>
        <w:t xml:space="preserve"> do not have similar numbers on their yearly indicators, which </w:t>
      </w:r>
      <w:r w:rsidR="002168CA">
        <w:rPr>
          <w:rFonts w:ascii="Times New Roman" w:hAnsi="Times New Roman" w:cs="Times New Roman"/>
          <w:sz w:val="26"/>
          <w:szCs w:val="26"/>
          <w:lang w:val="en-GB"/>
        </w:rPr>
        <w:t xml:space="preserve">gave a different result for the picked years. </w:t>
      </w:r>
    </w:p>
    <w:p w14:paraId="1D9F5894" w14:textId="77777777" w:rsidR="00DE7733" w:rsidRPr="00BA2A34" w:rsidRDefault="00DE7733" w:rsidP="002A6FCA">
      <w:pPr>
        <w:spacing w:line="360" w:lineRule="auto"/>
        <w:rPr>
          <w:rFonts w:ascii="Times New Roman" w:hAnsi="Times New Roman" w:cs="Times New Roman"/>
          <w:sz w:val="26"/>
          <w:szCs w:val="26"/>
          <w:lang w:val="en-GB"/>
        </w:rPr>
      </w:pPr>
    </w:p>
    <w:sectPr w:rsidR="00DE7733" w:rsidRPr="00BA2A34" w:rsidSect="003E4859">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D0A0A"/>
    <w:multiLevelType w:val="hybridMultilevel"/>
    <w:tmpl w:val="A3B01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59"/>
    <w:rsid w:val="00013F07"/>
    <w:rsid w:val="00017D8A"/>
    <w:rsid w:val="00060520"/>
    <w:rsid w:val="00091939"/>
    <w:rsid w:val="00095F1B"/>
    <w:rsid w:val="000B5583"/>
    <w:rsid w:val="00114F82"/>
    <w:rsid w:val="00121CCA"/>
    <w:rsid w:val="0013774C"/>
    <w:rsid w:val="00151A20"/>
    <w:rsid w:val="00163321"/>
    <w:rsid w:val="001928F3"/>
    <w:rsid w:val="001B3532"/>
    <w:rsid w:val="001C0C43"/>
    <w:rsid w:val="002168CA"/>
    <w:rsid w:val="002907F5"/>
    <w:rsid w:val="002A6FCA"/>
    <w:rsid w:val="0035554D"/>
    <w:rsid w:val="003575D9"/>
    <w:rsid w:val="003E4859"/>
    <w:rsid w:val="00485FE3"/>
    <w:rsid w:val="004875AA"/>
    <w:rsid w:val="00542A55"/>
    <w:rsid w:val="005C7BA3"/>
    <w:rsid w:val="00666B93"/>
    <w:rsid w:val="006B3AA7"/>
    <w:rsid w:val="007357B1"/>
    <w:rsid w:val="007E019F"/>
    <w:rsid w:val="00827C8B"/>
    <w:rsid w:val="00854507"/>
    <w:rsid w:val="008D2FEA"/>
    <w:rsid w:val="00956C00"/>
    <w:rsid w:val="00AD3ED3"/>
    <w:rsid w:val="00AE02CA"/>
    <w:rsid w:val="00B00B5B"/>
    <w:rsid w:val="00B255F4"/>
    <w:rsid w:val="00B557F9"/>
    <w:rsid w:val="00B619C3"/>
    <w:rsid w:val="00BA2A34"/>
    <w:rsid w:val="00CC60B8"/>
    <w:rsid w:val="00D0198C"/>
    <w:rsid w:val="00DB1EEA"/>
    <w:rsid w:val="00DB74AC"/>
    <w:rsid w:val="00DC6078"/>
    <w:rsid w:val="00DE7733"/>
    <w:rsid w:val="00E35D30"/>
    <w:rsid w:val="00E37F7E"/>
    <w:rsid w:val="00EE3962"/>
    <w:rsid w:val="00F1776D"/>
    <w:rsid w:val="00F2687B"/>
    <w:rsid w:val="00F662AC"/>
    <w:rsid w:val="00F77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5EEE5"/>
  <w15:chartTrackingRefBased/>
  <w15:docId w15:val="{050320EA-A31E-423A-B8C9-91A09C669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3E4859"/>
    <w:pPr>
      <w:spacing w:after="0" w:line="240" w:lineRule="auto"/>
    </w:pPr>
    <w:rPr>
      <w:rFonts w:eastAsiaTheme="minorEastAsia"/>
      <w:lang w:val="en-US"/>
    </w:rPr>
  </w:style>
  <w:style w:type="character" w:customStyle="1" w:styleId="NincstrkzChar">
    <w:name w:val="Nincs térköz Char"/>
    <w:basedOn w:val="Bekezdsalapbettpusa"/>
    <w:link w:val="Nincstrkz"/>
    <w:uiPriority w:val="1"/>
    <w:rsid w:val="003E4859"/>
    <w:rPr>
      <w:rFonts w:eastAsiaTheme="minorEastAsia"/>
      <w:lang w:val="en-US"/>
    </w:rPr>
  </w:style>
  <w:style w:type="paragraph" w:styleId="Listaszerbekezds">
    <w:name w:val="List Paragraph"/>
    <w:basedOn w:val="Norml"/>
    <w:uiPriority w:val="34"/>
    <w:qFormat/>
    <w:rsid w:val="00163321"/>
    <w:pPr>
      <w:ind w:left="720"/>
      <w:contextualSpacing/>
    </w:pPr>
  </w:style>
  <w:style w:type="character" w:styleId="Hiperhivatkozs">
    <w:name w:val="Hyperlink"/>
    <w:basedOn w:val="Bekezdsalapbettpusa"/>
    <w:uiPriority w:val="99"/>
    <w:unhideWhenUsed/>
    <w:rsid w:val="002A6FCA"/>
    <w:rPr>
      <w:color w:val="0563C1" w:themeColor="hyperlink"/>
      <w:u w:val="single"/>
    </w:rPr>
  </w:style>
  <w:style w:type="character" w:styleId="Feloldatlanmegemlts">
    <w:name w:val="Unresolved Mention"/>
    <w:basedOn w:val="Bekezdsalapbettpusa"/>
    <w:uiPriority w:val="99"/>
    <w:semiHidden/>
    <w:unhideWhenUsed/>
    <w:rsid w:val="002A6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6">
      <w:bodyDiv w:val="1"/>
      <w:marLeft w:val="0"/>
      <w:marRight w:val="0"/>
      <w:marTop w:val="0"/>
      <w:marBottom w:val="0"/>
      <w:divBdr>
        <w:top w:val="none" w:sz="0" w:space="0" w:color="auto"/>
        <w:left w:val="none" w:sz="0" w:space="0" w:color="auto"/>
        <w:bottom w:val="none" w:sz="0" w:space="0" w:color="auto"/>
        <w:right w:val="none" w:sz="0" w:space="0" w:color="auto"/>
      </w:divBdr>
    </w:div>
    <w:div w:id="7937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hyperlink" Target="https://miau.my-x.hu/myx-free/coco/index.html" TargetMode="Externa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miau.my-x.hu/mediawiki/index.php/QuILT" TargetMode="External"/><Relationship Id="rId11" Type="http://schemas.openxmlformats.org/officeDocument/2006/relationships/hyperlink" Target="https://miau.my-x.hu/myx-free/coco/beker_std.php" TargetMode="External"/><Relationship Id="rId24" Type="http://schemas.openxmlformats.org/officeDocument/2006/relationships/hyperlink" Target="https://miau.my-x.hu/myx-free/coco/beker_std.php"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emf"/><Relationship Id="rId10" Type="http://schemas.openxmlformats.org/officeDocument/2006/relationships/hyperlink" Target="https://miau.my-x.hu/miau/quilt/reconstruction_of_ggei_2018.xlsx"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0337817147856518"/>
          <c:y val="0.19486111111111112"/>
          <c:w val="0.89655796150481193"/>
          <c:h val="0.4976687809857101"/>
        </c:manualLayout>
      </c:layout>
      <c:barChart>
        <c:barDir val="col"/>
        <c:grouping val="clustered"/>
        <c:varyColors val="1"/>
        <c:ser>
          <c:idx val="0"/>
          <c:order val="0"/>
          <c:tx>
            <c:strRef>
              <c:f>'OAM raw'!$P$4</c:f>
              <c:strCache>
                <c:ptCount val="1"/>
                <c:pt idx="0">
                  <c:v>GGEI 2018</c:v>
                </c:pt>
              </c:strCache>
            </c:strRef>
          </c:tx>
          <c:spPr>
            <a:ln>
              <a:solidFill>
                <a:schemeClr val="tx1"/>
              </a:solidFill>
            </a:ln>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630F-4E79-B89F-2BA378BD3985}"/>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630F-4E79-B89F-2BA378BD3985}"/>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630F-4E79-B89F-2BA378BD3985}"/>
              </c:ext>
            </c:extLst>
          </c:dPt>
          <c:dPt>
            <c:idx val="3"/>
            <c:invertIfNegative val="0"/>
            <c:bubble3D val="0"/>
            <c:spPr>
              <a:solidFill>
                <a:schemeClr val="accent4"/>
              </a:solidFill>
              <a:ln>
                <a:solidFill>
                  <a:schemeClr val="tx1"/>
                </a:solidFill>
              </a:ln>
              <a:effectLst/>
            </c:spPr>
            <c:extLst>
              <c:ext xmlns:c16="http://schemas.microsoft.com/office/drawing/2014/chart" uri="{C3380CC4-5D6E-409C-BE32-E72D297353CC}">
                <c16:uniqueId val="{00000007-630F-4E79-B89F-2BA378BD3985}"/>
              </c:ext>
            </c:extLst>
          </c:dPt>
          <c:dPt>
            <c:idx val="4"/>
            <c:invertIfNegative val="0"/>
            <c:bubble3D val="0"/>
            <c:spPr>
              <a:solidFill>
                <a:schemeClr val="accent5"/>
              </a:solidFill>
              <a:ln>
                <a:solidFill>
                  <a:schemeClr val="tx1"/>
                </a:solidFill>
              </a:ln>
              <a:effectLst/>
            </c:spPr>
            <c:extLst>
              <c:ext xmlns:c16="http://schemas.microsoft.com/office/drawing/2014/chart" uri="{C3380CC4-5D6E-409C-BE32-E72D297353CC}">
                <c16:uniqueId val="{00000009-630F-4E79-B89F-2BA378BD3985}"/>
              </c:ext>
            </c:extLst>
          </c:dPt>
          <c:dPt>
            <c:idx val="5"/>
            <c:invertIfNegative val="0"/>
            <c:bubble3D val="0"/>
            <c:spPr>
              <a:solidFill>
                <a:schemeClr val="accent6"/>
              </a:solidFill>
              <a:ln>
                <a:solidFill>
                  <a:schemeClr val="tx1"/>
                </a:solidFill>
              </a:ln>
              <a:effectLst/>
            </c:spPr>
            <c:extLst>
              <c:ext xmlns:c16="http://schemas.microsoft.com/office/drawing/2014/chart" uri="{C3380CC4-5D6E-409C-BE32-E72D297353CC}">
                <c16:uniqueId val="{0000000B-630F-4E79-B89F-2BA378BD3985}"/>
              </c:ext>
            </c:extLst>
          </c:dPt>
          <c:dPt>
            <c:idx val="6"/>
            <c:invertIfNegative val="0"/>
            <c:bubble3D val="0"/>
            <c:spPr>
              <a:solidFill>
                <a:schemeClr val="accent1">
                  <a:lumMod val="60000"/>
                </a:schemeClr>
              </a:solidFill>
              <a:ln>
                <a:solidFill>
                  <a:schemeClr val="tx1"/>
                </a:solidFill>
              </a:ln>
              <a:effectLst/>
            </c:spPr>
            <c:extLst>
              <c:ext xmlns:c16="http://schemas.microsoft.com/office/drawing/2014/chart" uri="{C3380CC4-5D6E-409C-BE32-E72D297353CC}">
                <c16:uniqueId val="{0000000D-630F-4E79-B89F-2BA378BD3985}"/>
              </c:ext>
            </c:extLst>
          </c:dPt>
          <c:dPt>
            <c:idx val="7"/>
            <c:invertIfNegative val="0"/>
            <c:bubble3D val="0"/>
            <c:spPr>
              <a:solidFill>
                <a:schemeClr val="accent2">
                  <a:lumMod val="60000"/>
                </a:schemeClr>
              </a:solidFill>
              <a:ln>
                <a:solidFill>
                  <a:schemeClr val="tx1"/>
                </a:solidFill>
              </a:ln>
              <a:effectLst/>
            </c:spPr>
            <c:extLst>
              <c:ext xmlns:c16="http://schemas.microsoft.com/office/drawing/2014/chart" uri="{C3380CC4-5D6E-409C-BE32-E72D297353CC}">
                <c16:uniqueId val="{0000000F-630F-4E79-B89F-2BA378BD3985}"/>
              </c:ext>
            </c:extLst>
          </c:dPt>
          <c:dPt>
            <c:idx val="8"/>
            <c:invertIfNegative val="0"/>
            <c:bubble3D val="0"/>
            <c:spPr>
              <a:solidFill>
                <a:schemeClr val="accent3">
                  <a:lumMod val="60000"/>
                </a:schemeClr>
              </a:solidFill>
              <a:ln>
                <a:solidFill>
                  <a:schemeClr val="tx1"/>
                </a:solidFill>
              </a:ln>
              <a:effectLst/>
            </c:spPr>
            <c:extLst>
              <c:ext xmlns:c16="http://schemas.microsoft.com/office/drawing/2014/chart" uri="{C3380CC4-5D6E-409C-BE32-E72D297353CC}">
                <c16:uniqueId val="{00000011-630F-4E79-B89F-2BA378BD3985}"/>
              </c:ext>
            </c:extLst>
          </c:dPt>
          <c:dPt>
            <c:idx val="9"/>
            <c:invertIfNegative val="0"/>
            <c:bubble3D val="0"/>
            <c:spPr>
              <a:solidFill>
                <a:schemeClr val="accent4">
                  <a:lumMod val="60000"/>
                </a:schemeClr>
              </a:solidFill>
              <a:ln>
                <a:solidFill>
                  <a:schemeClr val="tx1"/>
                </a:solidFill>
              </a:ln>
              <a:effectLst/>
            </c:spPr>
            <c:extLst>
              <c:ext xmlns:c16="http://schemas.microsoft.com/office/drawing/2014/chart" uri="{C3380CC4-5D6E-409C-BE32-E72D297353CC}">
                <c16:uniqueId val="{00000013-630F-4E79-B89F-2BA378BD3985}"/>
              </c:ext>
            </c:extLst>
          </c:dPt>
          <c:dPt>
            <c:idx val="10"/>
            <c:invertIfNegative val="0"/>
            <c:bubble3D val="0"/>
            <c:spPr>
              <a:solidFill>
                <a:schemeClr val="accent5">
                  <a:lumMod val="60000"/>
                </a:schemeClr>
              </a:solidFill>
              <a:ln>
                <a:solidFill>
                  <a:schemeClr val="tx1"/>
                </a:solidFill>
              </a:ln>
              <a:effectLst/>
            </c:spPr>
            <c:extLst>
              <c:ext xmlns:c16="http://schemas.microsoft.com/office/drawing/2014/chart" uri="{C3380CC4-5D6E-409C-BE32-E72D297353CC}">
                <c16:uniqueId val="{00000015-630F-4E79-B89F-2BA378BD3985}"/>
              </c:ext>
            </c:extLst>
          </c:dPt>
          <c:dPt>
            <c:idx val="11"/>
            <c:invertIfNegative val="0"/>
            <c:bubble3D val="0"/>
            <c:spPr>
              <a:solidFill>
                <a:schemeClr val="accent6">
                  <a:lumMod val="60000"/>
                </a:schemeClr>
              </a:solidFill>
              <a:ln>
                <a:solidFill>
                  <a:schemeClr val="tx1"/>
                </a:solidFill>
              </a:ln>
              <a:effectLst/>
            </c:spPr>
            <c:extLst>
              <c:ext xmlns:c16="http://schemas.microsoft.com/office/drawing/2014/chart" uri="{C3380CC4-5D6E-409C-BE32-E72D297353CC}">
                <c16:uniqueId val="{00000017-630F-4E79-B89F-2BA378BD3985}"/>
              </c:ext>
            </c:extLst>
          </c:dPt>
          <c:dPt>
            <c:idx val="12"/>
            <c:invertIfNegative val="0"/>
            <c:bubble3D val="0"/>
            <c:spPr>
              <a:solidFill>
                <a:schemeClr val="accent1">
                  <a:lumMod val="80000"/>
                  <a:lumOff val="20000"/>
                </a:schemeClr>
              </a:solidFill>
              <a:ln>
                <a:solidFill>
                  <a:schemeClr val="tx1"/>
                </a:solidFill>
              </a:ln>
              <a:effectLst/>
            </c:spPr>
            <c:extLst>
              <c:ext xmlns:c16="http://schemas.microsoft.com/office/drawing/2014/chart" uri="{C3380CC4-5D6E-409C-BE32-E72D297353CC}">
                <c16:uniqueId val="{00000019-630F-4E79-B89F-2BA378BD3985}"/>
              </c:ext>
            </c:extLst>
          </c:dPt>
          <c:dPt>
            <c:idx val="13"/>
            <c:invertIfNegative val="0"/>
            <c:bubble3D val="0"/>
            <c:spPr>
              <a:solidFill>
                <a:schemeClr val="accent2">
                  <a:lumMod val="80000"/>
                  <a:lumOff val="20000"/>
                </a:schemeClr>
              </a:solidFill>
              <a:ln>
                <a:solidFill>
                  <a:schemeClr val="tx1"/>
                </a:solidFill>
              </a:ln>
              <a:effectLst/>
            </c:spPr>
            <c:extLst>
              <c:ext xmlns:c16="http://schemas.microsoft.com/office/drawing/2014/chart" uri="{C3380CC4-5D6E-409C-BE32-E72D297353CC}">
                <c16:uniqueId val="{0000001B-630F-4E79-B89F-2BA378BD3985}"/>
              </c:ext>
            </c:extLst>
          </c:dPt>
          <c:dPt>
            <c:idx val="14"/>
            <c:invertIfNegative val="0"/>
            <c:bubble3D val="0"/>
            <c:spPr>
              <a:solidFill>
                <a:schemeClr val="accent3">
                  <a:lumMod val="80000"/>
                  <a:lumOff val="20000"/>
                </a:schemeClr>
              </a:solidFill>
              <a:ln>
                <a:solidFill>
                  <a:schemeClr val="tx1"/>
                </a:solidFill>
              </a:ln>
              <a:effectLst/>
            </c:spPr>
            <c:extLst>
              <c:ext xmlns:c16="http://schemas.microsoft.com/office/drawing/2014/chart" uri="{C3380CC4-5D6E-409C-BE32-E72D297353CC}">
                <c16:uniqueId val="{0000001D-630F-4E79-B89F-2BA378BD3985}"/>
              </c:ext>
            </c:extLst>
          </c:dPt>
          <c:dPt>
            <c:idx val="15"/>
            <c:invertIfNegative val="0"/>
            <c:bubble3D val="0"/>
            <c:spPr>
              <a:solidFill>
                <a:schemeClr val="accent4">
                  <a:lumMod val="80000"/>
                  <a:lumOff val="20000"/>
                </a:schemeClr>
              </a:solidFill>
              <a:ln>
                <a:solidFill>
                  <a:schemeClr val="tx1"/>
                </a:solidFill>
              </a:ln>
              <a:effectLst/>
            </c:spPr>
            <c:extLst>
              <c:ext xmlns:c16="http://schemas.microsoft.com/office/drawing/2014/chart" uri="{C3380CC4-5D6E-409C-BE32-E72D297353CC}">
                <c16:uniqueId val="{0000001F-630F-4E79-B89F-2BA378BD3985}"/>
              </c:ext>
            </c:extLst>
          </c:dPt>
          <c:dPt>
            <c:idx val="16"/>
            <c:invertIfNegative val="0"/>
            <c:bubble3D val="0"/>
            <c:spPr>
              <a:solidFill>
                <a:schemeClr val="accent5">
                  <a:lumMod val="80000"/>
                  <a:lumOff val="20000"/>
                </a:schemeClr>
              </a:solidFill>
              <a:ln>
                <a:solidFill>
                  <a:schemeClr val="tx1"/>
                </a:solidFill>
              </a:ln>
              <a:effectLst/>
            </c:spPr>
            <c:extLst>
              <c:ext xmlns:c16="http://schemas.microsoft.com/office/drawing/2014/chart" uri="{C3380CC4-5D6E-409C-BE32-E72D297353CC}">
                <c16:uniqueId val="{00000021-630F-4E79-B89F-2BA378BD3985}"/>
              </c:ext>
            </c:extLst>
          </c:dPt>
          <c:dPt>
            <c:idx val="17"/>
            <c:invertIfNegative val="0"/>
            <c:bubble3D val="0"/>
            <c:spPr>
              <a:solidFill>
                <a:schemeClr val="accent6">
                  <a:lumMod val="80000"/>
                  <a:lumOff val="20000"/>
                </a:schemeClr>
              </a:solidFill>
              <a:ln>
                <a:solidFill>
                  <a:schemeClr val="tx1"/>
                </a:solidFill>
              </a:ln>
              <a:effectLst/>
            </c:spPr>
            <c:extLst>
              <c:ext xmlns:c16="http://schemas.microsoft.com/office/drawing/2014/chart" uri="{C3380CC4-5D6E-409C-BE32-E72D297353CC}">
                <c16:uniqueId val="{00000023-630F-4E79-B89F-2BA378BD3985}"/>
              </c:ext>
            </c:extLst>
          </c:dPt>
          <c:dPt>
            <c:idx val="18"/>
            <c:invertIfNegative val="0"/>
            <c:bubble3D val="0"/>
            <c:spPr>
              <a:solidFill>
                <a:schemeClr val="accent1">
                  <a:lumMod val="80000"/>
                </a:schemeClr>
              </a:solidFill>
              <a:ln>
                <a:solidFill>
                  <a:schemeClr val="tx1"/>
                </a:solidFill>
              </a:ln>
              <a:effectLst/>
            </c:spPr>
            <c:extLst>
              <c:ext xmlns:c16="http://schemas.microsoft.com/office/drawing/2014/chart" uri="{C3380CC4-5D6E-409C-BE32-E72D297353CC}">
                <c16:uniqueId val="{00000025-630F-4E79-B89F-2BA378BD3985}"/>
              </c:ext>
            </c:extLst>
          </c:dPt>
          <c:dPt>
            <c:idx val="19"/>
            <c:invertIfNegative val="0"/>
            <c:bubble3D val="0"/>
            <c:spPr>
              <a:solidFill>
                <a:schemeClr val="accent2">
                  <a:lumMod val="80000"/>
                </a:schemeClr>
              </a:solidFill>
              <a:ln>
                <a:solidFill>
                  <a:schemeClr val="tx1"/>
                </a:solidFill>
              </a:ln>
              <a:effectLst/>
            </c:spPr>
            <c:extLst>
              <c:ext xmlns:c16="http://schemas.microsoft.com/office/drawing/2014/chart" uri="{C3380CC4-5D6E-409C-BE32-E72D297353CC}">
                <c16:uniqueId val="{00000027-630F-4E79-B89F-2BA378BD3985}"/>
              </c:ext>
            </c:extLst>
          </c:dPt>
          <c:dPt>
            <c:idx val="20"/>
            <c:invertIfNegative val="0"/>
            <c:bubble3D val="0"/>
            <c:spPr>
              <a:solidFill>
                <a:schemeClr val="accent3">
                  <a:lumMod val="80000"/>
                </a:schemeClr>
              </a:solidFill>
              <a:ln>
                <a:solidFill>
                  <a:schemeClr val="tx1"/>
                </a:solidFill>
              </a:ln>
              <a:effectLst/>
            </c:spPr>
            <c:extLst>
              <c:ext xmlns:c16="http://schemas.microsoft.com/office/drawing/2014/chart" uri="{C3380CC4-5D6E-409C-BE32-E72D297353CC}">
                <c16:uniqueId val="{00000029-630F-4E79-B89F-2BA378BD3985}"/>
              </c:ext>
            </c:extLst>
          </c:dPt>
          <c:dPt>
            <c:idx val="21"/>
            <c:invertIfNegative val="0"/>
            <c:bubble3D val="0"/>
            <c:spPr>
              <a:solidFill>
                <a:schemeClr val="accent4">
                  <a:lumMod val="80000"/>
                </a:schemeClr>
              </a:solidFill>
              <a:ln>
                <a:solidFill>
                  <a:schemeClr val="tx1"/>
                </a:solidFill>
              </a:ln>
              <a:effectLst/>
            </c:spPr>
            <c:extLst>
              <c:ext xmlns:c16="http://schemas.microsoft.com/office/drawing/2014/chart" uri="{C3380CC4-5D6E-409C-BE32-E72D297353CC}">
                <c16:uniqueId val="{0000002B-630F-4E79-B89F-2BA378BD3985}"/>
              </c:ext>
            </c:extLst>
          </c:dPt>
          <c:dPt>
            <c:idx val="22"/>
            <c:invertIfNegative val="0"/>
            <c:bubble3D val="0"/>
            <c:spPr>
              <a:solidFill>
                <a:schemeClr val="accent5">
                  <a:lumMod val="80000"/>
                </a:schemeClr>
              </a:solidFill>
              <a:ln>
                <a:solidFill>
                  <a:schemeClr val="tx1"/>
                </a:solidFill>
              </a:ln>
              <a:effectLst/>
            </c:spPr>
            <c:extLst>
              <c:ext xmlns:c16="http://schemas.microsoft.com/office/drawing/2014/chart" uri="{C3380CC4-5D6E-409C-BE32-E72D297353CC}">
                <c16:uniqueId val="{0000002D-630F-4E79-B89F-2BA378BD3985}"/>
              </c:ext>
            </c:extLst>
          </c:dPt>
          <c:dPt>
            <c:idx val="23"/>
            <c:invertIfNegative val="0"/>
            <c:bubble3D val="0"/>
            <c:spPr>
              <a:solidFill>
                <a:schemeClr val="accent6">
                  <a:lumMod val="80000"/>
                </a:schemeClr>
              </a:solidFill>
              <a:ln>
                <a:solidFill>
                  <a:schemeClr val="tx1"/>
                </a:solidFill>
              </a:ln>
              <a:effectLst/>
            </c:spPr>
            <c:extLst>
              <c:ext xmlns:c16="http://schemas.microsoft.com/office/drawing/2014/chart" uri="{C3380CC4-5D6E-409C-BE32-E72D297353CC}">
                <c16:uniqueId val="{0000002F-630F-4E79-B89F-2BA378BD3985}"/>
              </c:ext>
            </c:extLst>
          </c:dPt>
          <c:dPt>
            <c:idx val="24"/>
            <c:invertIfNegative val="0"/>
            <c:bubble3D val="0"/>
            <c:spPr>
              <a:solidFill>
                <a:schemeClr val="accent1">
                  <a:lumMod val="60000"/>
                  <a:lumOff val="40000"/>
                </a:schemeClr>
              </a:solidFill>
              <a:ln>
                <a:solidFill>
                  <a:schemeClr val="tx1"/>
                </a:solidFill>
              </a:ln>
              <a:effectLst/>
            </c:spPr>
            <c:extLst>
              <c:ext xmlns:c16="http://schemas.microsoft.com/office/drawing/2014/chart" uri="{C3380CC4-5D6E-409C-BE32-E72D297353CC}">
                <c16:uniqueId val="{00000031-630F-4E79-B89F-2BA378BD3985}"/>
              </c:ext>
            </c:extLst>
          </c:dPt>
          <c:dPt>
            <c:idx val="25"/>
            <c:invertIfNegative val="0"/>
            <c:bubble3D val="0"/>
            <c:spPr>
              <a:solidFill>
                <a:schemeClr val="accent2">
                  <a:lumMod val="60000"/>
                  <a:lumOff val="40000"/>
                </a:schemeClr>
              </a:solidFill>
              <a:ln>
                <a:solidFill>
                  <a:schemeClr val="tx1"/>
                </a:solidFill>
              </a:ln>
              <a:effectLst/>
            </c:spPr>
            <c:extLst>
              <c:ext xmlns:c16="http://schemas.microsoft.com/office/drawing/2014/chart" uri="{C3380CC4-5D6E-409C-BE32-E72D297353CC}">
                <c16:uniqueId val="{00000033-630F-4E79-B89F-2BA378BD3985}"/>
              </c:ext>
            </c:extLst>
          </c:dPt>
          <c:dPt>
            <c:idx val="26"/>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35-630F-4E79-B89F-2BA378BD3985}"/>
              </c:ext>
            </c:extLst>
          </c:dPt>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raw'!$P$5:$P$31</c:f>
              <c:numCache>
                <c:formatCode>General</c:formatCode>
                <c:ptCount val="27"/>
                <c:pt idx="0">
                  <c:v>0.64794361383024202</c:v>
                </c:pt>
                <c:pt idx="1">
                  <c:v>0.57371259524905116</c:v>
                </c:pt>
                <c:pt idx="2">
                  <c:v>0.40269706831655605</c:v>
                </c:pt>
                <c:pt idx="3">
                  <c:v>0.4912106299398562</c:v>
                </c:pt>
                <c:pt idx="4">
                  <c:v>0.4511110264801399</c:v>
                </c:pt>
                <c:pt idx="5">
                  <c:v>0.4772547127711283</c:v>
                </c:pt>
                <c:pt idx="6">
                  <c:v>0.6800354819251444</c:v>
                </c:pt>
                <c:pt idx="7">
                  <c:v>0.46622117434805654</c:v>
                </c:pt>
                <c:pt idx="8">
                  <c:v>0.699706847553351</c:v>
                </c:pt>
                <c:pt idx="9">
                  <c:v>0.640500376859507</c:v>
                </c:pt>
                <c:pt idx="10">
                  <c:v>0.68901693887204107</c:v>
                </c:pt>
                <c:pt idx="11">
                  <c:v>0.54853127685436287</c:v>
                </c:pt>
                <c:pt idx="12">
                  <c:v>0.54186680221729988</c:v>
                </c:pt>
                <c:pt idx="13">
                  <c:v>0.59928812953257216</c:v>
                </c:pt>
                <c:pt idx="14">
                  <c:v>0.56061675495292373</c:v>
                </c:pt>
                <c:pt idx="15">
                  <c:v>0.46316942837757802</c:v>
                </c:pt>
                <c:pt idx="16">
                  <c:v>0.5158833368454887</c:v>
                </c:pt>
                <c:pt idx="17">
                  <c:v>0.52307258805883305</c:v>
                </c:pt>
                <c:pt idx="18">
                  <c:v>0.51634209537754128</c:v>
                </c:pt>
                <c:pt idx="19">
                  <c:v>0.41011100068308137</c:v>
                </c:pt>
                <c:pt idx="20">
                  <c:v>0.54052723831737037</c:v>
                </c:pt>
                <c:pt idx="21">
                  <c:v>0.47985809026889903</c:v>
                </c:pt>
                <c:pt idx="22">
                  <c:v>0.45267868852878679</c:v>
                </c:pt>
                <c:pt idx="23">
                  <c:v>0.5058364844156007</c:v>
                </c:pt>
                <c:pt idx="24">
                  <c:v>0.54110612099851962</c:v>
                </c:pt>
                <c:pt idx="25">
                  <c:v>0.76081699634810984</c:v>
                </c:pt>
                <c:pt idx="26">
                  <c:v>0.62295319212719658</c:v>
                </c:pt>
              </c:numCache>
            </c:numRef>
          </c:val>
          <c:extLst>
            <c:ext xmlns:c16="http://schemas.microsoft.com/office/drawing/2014/chart" uri="{C3380CC4-5D6E-409C-BE32-E72D297353CC}">
              <c16:uniqueId val="{00000036-630F-4E79-B89F-2BA378BD3985}"/>
            </c:ext>
          </c:extLst>
        </c:ser>
        <c:dLbls>
          <c:showLegendKey val="0"/>
          <c:showVal val="0"/>
          <c:showCatName val="0"/>
          <c:showSerName val="0"/>
          <c:showPercent val="0"/>
          <c:showBubbleSize val="0"/>
        </c:dLbls>
        <c:gapWidth val="0"/>
        <c:overlap val="-27"/>
        <c:axId val="1323991264"/>
        <c:axId val="1323320096"/>
      </c:barChart>
      <c:catAx>
        <c:axId val="132399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320096"/>
        <c:crosses val="autoZero"/>
        <c:auto val="1"/>
        <c:lblAlgn val="ctr"/>
        <c:lblOffset val="100"/>
        <c:noMultiLvlLbl val="0"/>
      </c:catAx>
      <c:valAx>
        <c:axId val="1323320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result</a:t>
                </a:r>
              </a:p>
            </c:rich>
          </c:tx>
          <c:overlay val="0"/>
          <c:spPr>
            <a:noFill/>
            <a:ln>
              <a:solidFill>
                <a:schemeClr val="accent1"/>
              </a:solid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9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34492563429572"/>
          <c:y val="5.0925925925925923E-2"/>
          <c:w val="0.80874912510936137"/>
          <c:h val="0.33716608340624088"/>
        </c:manualLayout>
      </c:layout>
      <c:lineChart>
        <c:grouping val="standard"/>
        <c:varyColors val="0"/>
        <c:ser>
          <c:idx val="0"/>
          <c:order val="0"/>
          <c:tx>
            <c:strRef>
              <c:f>'OAM raw'!$C$4</c:f>
              <c:strCache>
                <c:ptCount val="1"/>
                <c:pt idx="0">
                  <c:v>Market share of the largest generator in the electricity market - as a percentage of the total generation 2016</c:v>
                </c:pt>
              </c:strCache>
            </c:strRef>
          </c:tx>
          <c:spPr>
            <a:ln w="28575" cap="rnd">
              <a:solidFill>
                <a:schemeClr val="accent1"/>
              </a:solidFill>
              <a:round/>
            </a:ln>
            <a:effectLst/>
          </c:spPr>
          <c:marker>
            <c:symbol val="none"/>
          </c:marker>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raw'!$C$5:$C$31</c:f>
              <c:numCache>
                <c:formatCode>General</c:formatCode>
                <c:ptCount val="27"/>
                <c:pt idx="0" formatCode="#,##0.0">
                  <c:v>56.6</c:v>
                </c:pt>
                <c:pt idx="1">
                  <c:v>62.6</c:v>
                </c:pt>
                <c:pt idx="2">
                  <c:v>0</c:v>
                </c:pt>
                <c:pt idx="3">
                  <c:v>80.7</c:v>
                </c:pt>
                <c:pt idx="4">
                  <c:v>100</c:v>
                </c:pt>
                <c:pt idx="5">
                  <c:v>52.4</c:v>
                </c:pt>
                <c:pt idx="6">
                  <c:v>35.200000000000003</c:v>
                </c:pt>
                <c:pt idx="7">
                  <c:v>80.8</c:v>
                </c:pt>
                <c:pt idx="8">
                  <c:v>25.6</c:v>
                </c:pt>
                <c:pt idx="9">
                  <c:v>82.5</c:v>
                </c:pt>
                <c:pt idx="10">
                  <c:v>33.5</c:v>
                </c:pt>
                <c:pt idx="11">
                  <c:v>72</c:v>
                </c:pt>
                <c:pt idx="12">
                  <c:v>52.9</c:v>
                </c:pt>
                <c:pt idx="13">
                  <c:v>47</c:v>
                </c:pt>
                <c:pt idx="14">
                  <c:v>24</c:v>
                </c:pt>
                <c:pt idx="15">
                  <c:v>58.6</c:v>
                </c:pt>
                <c:pt idx="16">
                  <c:v>14.3</c:v>
                </c:pt>
                <c:pt idx="17">
                  <c:v>18</c:v>
                </c:pt>
                <c:pt idx="18">
                  <c:v>100</c:v>
                </c:pt>
                <c:pt idx="19">
                  <c:v>16</c:v>
                </c:pt>
                <c:pt idx="20">
                  <c:v>47</c:v>
                </c:pt>
                <c:pt idx="21">
                  <c:v>28.5</c:v>
                </c:pt>
                <c:pt idx="22">
                  <c:v>71.3</c:v>
                </c:pt>
                <c:pt idx="23">
                  <c:v>53.9</c:v>
                </c:pt>
                <c:pt idx="24">
                  <c:v>25.4</c:v>
                </c:pt>
                <c:pt idx="25">
                  <c:v>42</c:v>
                </c:pt>
                <c:pt idx="26" formatCode="#,##0.0">
                  <c:v>51.7</c:v>
                </c:pt>
              </c:numCache>
            </c:numRef>
          </c:val>
          <c:smooth val="0"/>
          <c:extLst>
            <c:ext xmlns:c16="http://schemas.microsoft.com/office/drawing/2014/chart" uri="{C3380CC4-5D6E-409C-BE32-E72D297353CC}">
              <c16:uniqueId val="{00000000-55D7-4471-B633-E23812553D43}"/>
            </c:ext>
          </c:extLst>
        </c:ser>
        <c:ser>
          <c:idx val="1"/>
          <c:order val="1"/>
          <c:tx>
            <c:strRef>
              <c:f>'OAM raw'!$D$4</c:f>
              <c:strCache>
                <c:ptCount val="1"/>
                <c:pt idx="0">
                  <c:v>Market share of the largest generator in the electricity market - as a percentage of the total generation 2017</c:v>
                </c:pt>
              </c:strCache>
            </c:strRef>
          </c:tx>
          <c:spPr>
            <a:ln w="28575" cap="rnd">
              <a:solidFill>
                <a:schemeClr val="accent2"/>
              </a:solidFill>
              <a:round/>
            </a:ln>
            <a:effectLst/>
          </c:spPr>
          <c:marker>
            <c:symbol val="none"/>
          </c:marker>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raw'!$D$5:$D$31</c:f>
              <c:numCache>
                <c:formatCode>General</c:formatCode>
                <c:ptCount val="27"/>
                <c:pt idx="0" formatCode="#,##0.0">
                  <c:v>55.5</c:v>
                </c:pt>
                <c:pt idx="1">
                  <c:v>60.66</c:v>
                </c:pt>
                <c:pt idx="2">
                  <c:v>0</c:v>
                </c:pt>
                <c:pt idx="3">
                  <c:v>86.12</c:v>
                </c:pt>
                <c:pt idx="4">
                  <c:v>100</c:v>
                </c:pt>
                <c:pt idx="5">
                  <c:v>62.2</c:v>
                </c:pt>
                <c:pt idx="6">
                  <c:v>33.270000000000003</c:v>
                </c:pt>
                <c:pt idx="7">
                  <c:v>82.5</c:v>
                </c:pt>
                <c:pt idx="8">
                  <c:v>25.6</c:v>
                </c:pt>
                <c:pt idx="9">
                  <c:v>79.900000000000006</c:v>
                </c:pt>
                <c:pt idx="10">
                  <c:v>32.200000000000003</c:v>
                </c:pt>
                <c:pt idx="11">
                  <c:v>58.65</c:v>
                </c:pt>
                <c:pt idx="12">
                  <c:v>51.28</c:v>
                </c:pt>
                <c:pt idx="13">
                  <c:v>43</c:v>
                </c:pt>
                <c:pt idx="14">
                  <c:v>19</c:v>
                </c:pt>
                <c:pt idx="15">
                  <c:v>47.05</c:v>
                </c:pt>
                <c:pt idx="16">
                  <c:v>14.2</c:v>
                </c:pt>
                <c:pt idx="17">
                  <c:v>17.84</c:v>
                </c:pt>
                <c:pt idx="18">
                  <c:v>61</c:v>
                </c:pt>
                <c:pt idx="19">
                  <c:v>17.649999999999999</c:v>
                </c:pt>
                <c:pt idx="20">
                  <c:v>39.5</c:v>
                </c:pt>
                <c:pt idx="21">
                  <c:v>23.1</c:v>
                </c:pt>
                <c:pt idx="22">
                  <c:v>71.39</c:v>
                </c:pt>
                <c:pt idx="23">
                  <c:v>48.52</c:v>
                </c:pt>
                <c:pt idx="24">
                  <c:v>22.5</c:v>
                </c:pt>
                <c:pt idx="25">
                  <c:v>42.4</c:v>
                </c:pt>
                <c:pt idx="26" formatCode="#,##0.0">
                  <c:v>29.3</c:v>
                </c:pt>
              </c:numCache>
            </c:numRef>
          </c:val>
          <c:smooth val="0"/>
          <c:extLst>
            <c:ext xmlns:c16="http://schemas.microsoft.com/office/drawing/2014/chart" uri="{C3380CC4-5D6E-409C-BE32-E72D297353CC}">
              <c16:uniqueId val="{00000001-55D7-4471-B633-E23812553D43}"/>
            </c:ext>
          </c:extLst>
        </c:ser>
        <c:dLbls>
          <c:showLegendKey val="0"/>
          <c:showVal val="0"/>
          <c:showCatName val="0"/>
          <c:showSerName val="0"/>
          <c:showPercent val="0"/>
          <c:showBubbleSize val="0"/>
        </c:dLbls>
        <c:smooth val="0"/>
        <c:axId val="1329641664"/>
        <c:axId val="1466160336"/>
      </c:lineChart>
      <c:catAx>
        <c:axId val="1329641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160336"/>
        <c:crosses val="autoZero"/>
        <c:auto val="1"/>
        <c:lblAlgn val="ctr"/>
        <c:lblOffset val="100"/>
        <c:noMultiLvlLbl val="0"/>
      </c:catAx>
      <c:valAx>
        <c:axId val="1466160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96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Heating degree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raw'!$E$4</c:f>
              <c:strCache>
                <c:ptCount val="1"/>
                <c:pt idx="0">
                  <c:v>Heating degree days 2016</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raw'!$E$5:$E$31</c:f>
              <c:numCache>
                <c:formatCode>#,##0.00</c:formatCode>
                <c:ptCount val="27"/>
                <c:pt idx="0">
                  <c:v>3419.01</c:v>
                </c:pt>
                <c:pt idx="1">
                  <c:v>2688.91</c:v>
                </c:pt>
                <c:pt idx="2">
                  <c:v>2426.5300000000002</c:v>
                </c:pt>
                <c:pt idx="3">
                  <c:v>2272.64</c:v>
                </c:pt>
                <c:pt idx="4">
                  <c:v>680.48</c:v>
                </c:pt>
                <c:pt idx="5">
                  <c:v>3247.27</c:v>
                </c:pt>
                <c:pt idx="6">
                  <c:v>3136.44</c:v>
                </c:pt>
                <c:pt idx="7">
                  <c:v>4208.1499999999996</c:v>
                </c:pt>
                <c:pt idx="8">
                  <c:v>5337.55</c:v>
                </c:pt>
                <c:pt idx="9">
                  <c:v>2397.83</c:v>
                </c:pt>
                <c:pt idx="10">
                  <c:v>3005.03</c:v>
                </c:pt>
                <c:pt idx="11">
                  <c:v>1463.71</c:v>
                </c:pt>
                <c:pt idx="12">
                  <c:v>2706.57</c:v>
                </c:pt>
                <c:pt idx="13">
                  <c:v>2746.32</c:v>
                </c:pt>
                <c:pt idx="14">
                  <c:v>1762.23</c:v>
                </c:pt>
                <c:pt idx="15">
                  <c:v>4002.7</c:v>
                </c:pt>
                <c:pt idx="16">
                  <c:v>3826.89</c:v>
                </c:pt>
                <c:pt idx="17">
                  <c:v>2967.47</c:v>
                </c:pt>
                <c:pt idx="18">
                  <c:v>322.12</c:v>
                </c:pt>
                <c:pt idx="19">
                  <c:v>3286.46</c:v>
                </c:pt>
                <c:pt idx="20">
                  <c:v>1237.0999999999999</c:v>
                </c:pt>
                <c:pt idx="21">
                  <c:v>2918.6</c:v>
                </c:pt>
                <c:pt idx="22">
                  <c:v>3171.86</c:v>
                </c:pt>
                <c:pt idx="23">
                  <c:v>2756.94</c:v>
                </c:pt>
                <c:pt idx="24">
                  <c:v>1729.21</c:v>
                </c:pt>
                <c:pt idx="25">
                  <c:v>5125.08</c:v>
                </c:pt>
                <c:pt idx="26">
                  <c:v>2976.36</c:v>
                </c:pt>
              </c:numCache>
            </c:numRef>
          </c:val>
          <c:extLst>
            <c:ext xmlns:c16="http://schemas.microsoft.com/office/drawing/2014/chart" uri="{C3380CC4-5D6E-409C-BE32-E72D297353CC}">
              <c16:uniqueId val="{00000000-908C-476F-9A42-41E869053A23}"/>
            </c:ext>
          </c:extLst>
        </c:ser>
        <c:ser>
          <c:idx val="1"/>
          <c:order val="1"/>
          <c:tx>
            <c:strRef>
              <c:f>'OAM raw'!$F$4</c:f>
              <c:strCache>
                <c:ptCount val="1"/>
                <c:pt idx="0">
                  <c:v>Heating degree days 2017</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raw'!$F$5:$F$31</c:f>
              <c:numCache>
                <c:formatCode>#,##0.00</c:formatCode>
                <c:ptCount val="27"/>
                <c:pt idx="0">
                  <c:v>3503.32</c:v>
                </c:pt>
                <c:pt idx="1">
                  <c:v>2580.04</c:v>
                </c:pt>
                <c:pt idx="2">
                  <c:v>2532.62</c:v>
                </c:pt>
                <c:pt idx="3">
                  <c:v>2330.5500000000002</c:v>
                </c:pt>
                <c:pt idx="4">
                  <c:v>720.73</c:v>
                </c:pt>
                <c:pt idx="5">
                  <c:v>3310.47</c:v>
                </c:pt>
                <c:pt idx="6">
                  <c:v>3117.46</c:v>
                </c:pt>
                <c:pt idx="7">
                  <c:v>4208.16</c:v>
                </c:pt>
                <c:pt idx="8">
                  <c:v>5524.31</c:v>
                </c:pt>
                <c:pt idx="9">
                  <c:v>2337.9499999999998</c:v>
                </c:pt>
                <c:pt idx="10">
                  <c:v>2964.25</c:v>
                </c:pt>
                <c:pt idx="11">
                  <c:v>1657.68</c:v>
                </c:pt>
                <c:pt idx="12">
                  <c:v>2742.05</c:v>
                </c:pt>
                <c:pt idx="13">
                  <c:v>2670.21</c:v>
                </c:pt>
                <c:pt idx="14">
                  <c:v>1878.2</c:v>
                </c:pt>
                <c:pt idx="15">
                  <c:v>4016.22</c:v>
                </c:pt>
                <c:pt idx="16">
                  <c:v>3830.39</c:v>
                </c:pt>
                <c:pt idx="17">
                  <c:v>2869.5</c:v>
                </c:pt>
                <c:pt idx="18">
                  <c:v>485.17</c:v>
                </c:pt>
                <c:pt idx="19">
                  <c:v>3290.02</c:v>
                </c:pt>
                <c:pt idx="20">
                  <c:v>1054.56</c:v>
                </c:pt>
                <c:pt idx="21">
                  <c:v>2916.49</c:v>
                </c:pt>
                <c:pt idx="22">
                  <c:v>3280.35</c:v>
                </c:pt>
                <c:pt idx="23">
                  <c:v>2832.81</c:v>
                </c:pt>
                <c:pt idx="24">
                  <c:v>1597.89</c:v>
                </c:pt>
                <c:pt idx="25">
                  <c:v>5219.8500000000004</c:v>
                </c:pt>
                <c:pt idx="26">
                  <c:v>2864.79</c:v>
                </c:pt>
              </c:numCache>
            </c:numRef>
          </c:val>
          <c:extLst>
            <c:ext xmlns:c16="http://schemas.microsoft.com/office/drawing/2014/chart" uri="{C3380CC4-5D6E-409C-BE32-E72D297353CC}">
              <c16:uniqueId val="{00000001-908C-476F-9A42-41E869053A23}"/>
            </c:ext>
          </c:extLst>
        </c:ser>
        <c:ser>
          <c:idx val="2"/>
          <c:order val="2"/>
          <c:tx>
            <c:strRef>
              <c:f>'OAM raw'!$G$4</c:f>
              <c:strCache>
                <c:ptCount val="1"/>
                <c:pt idx="0">
                  <c:v>Heating degree days 2018</c:v>
                </c:pt>
              </c:strCache>
            </c:strRef>
          </c:tx>
          <c:spPr>
            <a:solidFill>
              <a:schemeClr val="accent3"/>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raw'!$G$5:$G$31</c:f>
              <c:numCache>
                <c:formatCode>#,##0.00</c:formatCode>
                <c:ptCount val="27"/>
                <c:pt idx="0">
                  <c:v>3196.46</c:v>
                </c:pt>
                <c:pt idx="1">
                  <c:v>2513.9</c:v>
                </c:pt>
                <c:pt idx="2">
                  <c:v>2357.9299999999998</c:v>
                </c:pt>
                <c:pt idx="3">
                  <c:v>2148.1799999999998</c:v>
                </c:pt>
                <c:pt idx="4">
                  <c:v>476.88</c:v>
                </c:pt>
                <c:pt idx="5">
                  <c:v>2996.42</c:v>
                </c:pt>
                <c:pt idx="6">
                  <c:v>3051.11</c:v>
                </c:pt>
                <c:pt idx="7">
                  <c:v>4064.73</c:v>
                </c:pt>
                <c:pt idx="8">
                  <c:v>5363.53</c:v>
                </c:pt>
                <c:pt idx="9">
                  <c:v>2183.5500000000002</c:v>
                </c:pt>
                <c:pt idx="10">
                  <c:v>2775.78</c:v>
                </c:pt>
                <c:pt idx="11">
                  <c:v>1382.68</c:v>
                </c:pt>
                <c:pt idx="12">
                  <c:v>2471.63</c:v>
                </c:pt>
                <c:pt idx="13">
                  <c:v>2756.01</c:v>
                </c:pt>
                <c:pt idx="14">
                  <c:v>1753.68</c:v>
                </c:pt>
                <c:pt idx="15">
                  <c:v>3890.73</c:v>
                </c:pt>
                <c:pt idx="16">
                  <c:v>3696.08</c:v>
                </c:pt>
                <c:pt idx="17">
                  <c:v>2669.56</c:v>
                </c:pt>
                <c:pt idx="18">
                  <c:v>366.13</c:v>
                </c:pt>
                <c:pt idx="19">
                  <c:v>3125.38</c:v>
                </c:pt>
                <c:pt idx="20">
                  <c:v>1304.6099999999999</c:v>
                </c:pt>
                <c:pt idx="21">
                  <c:v>2749.08</c:v>
                </c:pt>
                <c:pt idx="22">
                  <c:v>2922.03</c:v>
                </c:pt>
                <c:pt idx="23">
                  <c:v>2583.75</c:v>
                </c:pt>
                <c:pt idx="24">
                  <c:v>1799.68</c:v>
                </c:pt>
                <c:pt idx="25">
                  <c:v>5162.8100000000004</c:v>
                </c:pt>
                <c:pt idx="26">
                  <c:v>2936.31</c:v>
                </c:pt>
              </c:numCache>
            </c:numRef>
          </c:val>
          <c:extLst>
            <c:ext xmlns:c16="http://schemas.microsoft.com/office/drawing/2014/chart" uri="{C3380CC4-5D6E-409C-BE32-E72D297353CC}">
              <c16:uniqueId val="{00000002-908C-476F-9A42-41E869053A23}"/>
            </c:ext>
          </c:extLst>
        </c:ser>
        <c:dLbls>
          <c:showLegendKey val="0"/>
          <c:showVal val="0"/>
          <c:showCatName val="0"/>
          <c:showSerName val="0"/>
          <c:showPercent val="0"/>
          <c:showBubbleSize val="0"/>
        </c:dLbls>
        <c:gapWidth val="184"/>
        <c:overlap val="-27"/>
        <c:axId val="1499220368"/>
        <c:axId val="1484075152"/>
      </c:barChart>
      <c:catAx>
        <c:axId val="149922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84075152"/>
        <c:crosses val="autoZero"/>
        <c:auto val="1"/>
        <c:lblAlgn val="ctr"/>
        <c:lblOffset val="100"/>
        <c:noMultiLvlLbl val="0"/>
      </c:catAx>
      <c:valAx>
        <c:axId val="1484075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9922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Cooling degree days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raw'!$H$4</c:f>
              <c:strCache>
                <c:ptCount val="1"/>
                <c:pt idx="0">
                  <c:v>Cooling degree days 2016</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raw'!$H$5:$H$31</c:f>
              <c:numCache>
                <c:formatCode>#,##0.00</c:formatCode>
                <c:ptCount val="27"/>
                <c:pt idx="0">
                  <c:v>12.28</c:v>
                </c:pt>
                <c:pt idx="1">
                  <c:v>23.26</c:v>
                </c:pt>
                <c:pt idx="2">
                  <c:v>183.45</c:v>
                </c:pt>
                <c:pt idx="3">
                  <c:v>113.73</c:v>
                </c:pt>
                <c:pt idx="4">
                  <c:v>732.63</c:v>
                </c:pt>
                <c:pt idx="5">
                  <c:v>10.4</c:v>
                </c:pt>
                <c:pt idx="6">
                  <c:v>0.46</c:v>
                </c:pt>
                <c:pt idx="7">
                  <c:v>1.62</c:v>
                </c:pt>
                <c:pt idx="8">
                  <c:v>0</c:v>
                </c:pt>
                <c:pt idx="9">
                  <c:v>47.98</c:v>
                </c:pt>
                <c:pt idx="10">
                  <c:v>15.7</c:v>
                </c:pt>
                <c:pt idx="11">
                  <c:v>349.51</c:v>
                </c:pt>
                <c:pt idx="12">
                  <c:v>63.23</c:v>
                </c:pt>
                <c:pt idx="13">
                  <c:v>0</c:v>
                </c:pt>
                <c:pt idx="14">
                  <c:v>200.83</c:v>
                </c:pt>
                <c:pt idx="15">
                  <c:v>4.75</c:v>
                </c:pt>
                <c:pt idx="16">
                  <c:v>7.48</c:v>
                </c:pt>
                <c:pt idx="17">
                  <c:v>19.14</c:v>
                </c:pt>
                <c:pt idx="18">
                  <c:v>614.23</c:v>
                </c:pt>
                <c:pt idx="19">
                  <c:v>16.84</c:v>
                </c:pt>
                <c:pt idx="20">
                  <c:v>275.88</c:v>
                </c:pt>
                <c:pt idx="21">
                  <c:v>107.72</c:v>
                </c:pt>
                <c:pt idx="22">
                  <c:v>26.99</c:v>
                </c:pt>
                <c:pt idx="23">
                  <c:v>32.409999999999997</c:v>
                </c:pt>
                <c:pt idx="24">
                  <c:v>278.25</c:v>
                </c:pt>
                <c:pt idx="25">
                  <c:v>0.03</c:v>
                </c:pt>
                <c:pt idx="26">
                  <c:v>0.41</c:v>
                </c:pt>
              </c:numCache>
            </c:numRef>
          </c:val>
          <c:extLst>
            <c:ext xmlns:c16="http://schemas.microsoft.com/office/drawing/2014/chart" uri="{C3380CC4-5D6E-409C-BE32-E72D297353CC}">
              <c16:uniqueId val="{00000000-6630-4B6A-8A5D-A2143CBD91A5}"/>
            </c:ext>
          </c:extLst>
        </c:ser>
        <c:ser>
          <c:idx val="1"/>
          <c:order val="1"/>
          <c:tx>
            <c:strRef>
              <c:f>'OAM raw'!$I$4</c:f>
              <c:strCache>
                <c:ptCount val="1"/>
                <c:pt idx="0">
                  <c:v>Cooling degree days 2017</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raw'!$I$5:$I$31</c:f>
              <c:numCache>
                <c:formatCode>#,##0.00</c:formatCode>
                <c:ptCount val="27"/>
                <c:pt idx="0">
                  <c:v>34.909999999999997</c:v>
                </c:pt>
                <c:pt idx="1">
                  <c:v>16.86</c:v>
                </c:pt>
                <c:pt idx="2">
                  <c:v>206.96</c:v>
                </c:pt>
                <c:pt idx="3">
                  <c:v>206.69</c:v>
                </c:pt>
                <c:pt idx="4">
                  <c:v>702.58</c:v>
                </c:pt>
                <c:pt idx="5">
                  <c:v>22.27</c:v>
                </c:pt>
                <c:pt idx="6">
                  <c:v>0</c:v>
                </c:pt>
                <c:pt idx="7">
                  <c:v>0</c:v>
                </c:pt>
                <c:pt idx="8">
                  <c:v>0</c:v>
                </c:pt>
                <c:pt idx="9">
                  <c:v>66.400000000000006</c:v>
                </c:pt>
                <c:pt idx="10">
                  <c:v>8.82</c:v>
                </c:pt>
                <c:pt idx="11">
                  <c:v>349.63</c:v>
                </c:pt>
                <c:pt idx="12">
                  <c:v>142.91</c:v>
                </c:pt>
                <c:pt idx="13">
                  <c:v>0</c:v>
                </c:pt>
                <c:pt idx="14">
                  <c:v>295.39999999999998</c:v>
                </c:pt>
                <c:pt idx="15">
                  <c:v>0.63</c:v>
                </c:pt>
                <c:pt idx="16">
                  <c:v>4.63</c:v>
                </c:pt>
                <c:pt idx="17">
                  <c:v>23.08</c:v>
                </c:pt>
                <c:pt idx="18">
                  <c:v>673.29</c:v>
                </c:pt>
                <c:pt idx="19">
                  <c:v>19.64</c:v>
                </c:pt>
                <c:pt idx="20">
                  <c:v>269.43</c:v>
                </c:pt>
                <c:pt idx="21">
                  <c:v>131.25</c:v>
                </c:pt>
                <c:pt idx="22">
                  <c:v>59.89</c:v>
                </c:pt>
                <c:pt idx="23">
                  <c:v>87.43</c:v>
                </c:pt>
                <c:pt idx="24">
                  <c:v>306.91000000000003</c:v>
                </c:pt>
                <c:pt idx="25">
                  <c:v>0</c:v>
                </c:pt>
                <c:pt idx="26">
                  <c:v>0.22</c:v>
                </c:pt>
              </c:numCache>
            </c:numRef>
          </c:val>
          <c:extLst>
            <c:ext xmlns:c16="http://schemas.microsoft.com/office/drawing/2014/chart" uri="{C3380CC4-5D6E-409C-BE32-E72D297353CC}">
              <c16:uniqueId val="{00000001-6630-4B6A-8A5D-A2143CBD91A5}"/>
            </c:ext>
          </c:extLst>
        </c:ser>
        <c:ser>
          <c:idx val="2"/>
          <c:order val="2"/>
          <c:tx>
            <c:strRef>
              <c:f>'OAM raw'!$J$4</c:f>
              <c:strCache>
                <c:ptCount val="1"/>
                <c:pt idx="0">
                  <c:v>Cooling degree days 2018</c:v>
                </c:pt>
              </c:strCache>
            </c:strRef>
          </c:tx>
          <c:spPr>
            <a:solidFill>
              <a:schemeClr val="accent3"/>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raw'!$J$5:$J$31</c:f>
              <c:numCache>
                <c:formatCode>#,##0.00</c:formatCode>
                <c:ptCount val="27"/>
                <c:pt idx="0">
                  <c:v>32.6</c:v>
                </c:pt>
                <c:pt idx="1">
                  <c:v>33.119999999999997</c:v>
                </c:pt>
                <c:pt idx="2">
                  <c:v>125.54</c:v>
                </c:pt>
                <c:pt idx="3">
                  <c:v>144.58000000000001</c:v>
                </c:pt>
                <c:pt idx="4">
                  <c:v>805.71</c:v>
                </c:pt>
                <c:pt idx="5">
                  <c:v>45.81</c:v>
                </c:pt>
                <c:pt idx="6">
                  <c:v>13.95</c:v>
                </c:pt>
                <c:pt idx="7">
                  <c:v>25.57</c:v>
                </c:pt>
                <c:pt idx="8">
                  <c:v>8.76</c:v>
                </c:pt>
                <c:pt idx="9">
                  <c:v>64.86</c:v>
                </c:pt>
                <c:pt idx="10">
                  <c:v>51.22</c:v>
                </c:pt>
                <c:pt idx="11">
                  <c:v>306.2</c:v>
                </c:pt>
                <c:pt idx="12">
                  <c:v>124.49</c:v>
                </c:pt>
                <c:pt idx="13">
                  <c:v>0</c:v>
                </c:pt>
                <c:pt idx="14">
                  <c:v>232.67</c:v>
                </c:pt>
                <c:pt idx="15">
                  <c:v>23.48</c:v>
                </c:pt>
                <c:pt idx="16">
                  <c:v>24.68</c:v>
                </c:pt>
                <c:pt idx="17">
                  <c:v>47.19</c:v>
                </c:pt>
                <c:pt idx="18">
                  <c:v>625.71</c:v>
                </c:pt>
                <c:pt idx="19">
                  <c:v>29.66</c:v>
                </c:pt>
                <c:pt idx="20">
                  <c:v>233.23</c:v>
                </c:pt>
                <c:pt idx="21">
                  <c:v>84.93</c:v>
                </c:pt>
                <c:pt idx="22">
                  <c:v>53.04</c:v>
                </c:pt>
                <c:pt idx="23">
                  <c:v>51.12</c:v>
                </c:pt>
                <c:pt idx="24">
                  <c:v>239.15</c:v>
                </c:pt>
                <c:pt idx="25">
                  <c:v>4.51</c:v>
                </c:pt>
                <c:pt idx="26">
                  <c:v>1.0900000000000001</c:v>
                </c:pt>
              </c:numCache>
            </c:numRef>
          </c:val>
          <c:extLst>
            <c:ext xmlns:c16="http://schemas.microsoft.com/office/drawing/2014/chart" uri="{C3380CC4-5D6E-409C-BE32-E72D297353CC}">
              <c16:uniqueId val="{00000002-6630-4B6A-8A5D-A2143CBD91A5}"/>
            </c:ext>
          </c:extLst>
        </c:ser>
        <c:dLbls>
          <c:showLegendKey val="0"/>
          <c:showVal val="0"/>
          <c:showCatName val="0"/>
          <c:showSerName val="0"/>
          <c:showPercent val="0"/>
          <c:showBubbleSize val="0"/>
        </c:dLbls>
        <c:gapWidth val="219"/>
        <c:overlap val="-27"/>
        <c:axId val="1329646864"/>
        <c:axId val="1323312608"/>
      </c:barChart>
      <c:catAx>
        <c:axId val="1329646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312608"/>
        <c:crosses val="autoZero"/>
        <c:auto val="1"/>
        <c:lblAlgn val="ctr"/>
        <c:lblOffset val="100"/>
        <c:noMultiLvlLbl val="0"/>
      </c:catAx>
      <c:valAx>
        <c:axId val="1323312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964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Covenant of Mayors for Climate and Energy signatories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raw'!$K$4</c:f>
              <c:strCache>
                <c:ptCount val="1"/>
                <c:pt idx="0">
                  <c:v>Population covered by the Covenant of Mayors for Climate &amp; Energy signatories 2017</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raw'!$K$5:$K$31</c:f>
              <c:numCache>
                <c:formatCode>General</c:formatCode>
                <c:ptCount val="27"/>
                <c:pt idx="0">
                  <c:v>1.94</c:v>
                </c:pt>
                <c:pt idx="1">
                  <c:v>8.4390000000000001</c:v>
                </c:pt>
                <c:pt idx="2">
                  <c:v>2.601</c:v>
                </c:pt>
                <c:pt idx="3">
                  <c:v>2.0299999999999998</c:v>
                </c:pt>
                <c:pt idx="4">
                  <c:v>0</c:v>
                </c:pt>
                <c:pt idx="5">
                  <c:v>1.702</c:v>
                </c:pt>
                <c:pt idx="6">
                  <c:v>3.1890000000000001</c:v>
                </c:pt>
                <c:pt idx="7">
                  <c:v>1E-3</c:v>
                </c:pt>
                <c:pt idx="8">
                  <c:v>2.1960000000000002</c:v>
                </c:pt>
                <c:pt idx="9">
                  <c:v>15.711</c:v>
                </c:pt>
                <c:pt idx="10">
                  <c:v>18.173999999999999</c:v>
                </c:pt>
                <c:pt idx="11">
                  <c:v>6.0309999999999997</c:v>
                </c:pt>
                <c:pt idx="12">
                  <c:v>3.32</c:v>
                </c:pt>
                <c:pt idx="13">
                  <c:v>2.359</c:v>
                </c:pt>
                <c:pt idx="14">
                  <c:v>41.097000000000001</c:v>
                </c:pt>
                <c:pt idx="15">
                  <c:v>1.206</c:v>
                </c:pt>
                <c:pt idx="16">
                  <c:v>1.407</c:v>
                </c:pt>
                <c:pt idx="17">
                  <c:v>0</c:v>
                </c:pt>
                <c:pt idx="18">
                  <c:v>0</c:v>
                </c:pt>
                <c:pt idx="19">
                  <c:v>4.3719999999999999</c:v>
                </c:pt>
                <c:pt idx="20">
                  <c:v>6.07</c:v>
                </c:pt>
                <c:pt idx="21">
                  <c:v>4.532</c:v>
                </c:pt>
                <c:pt idx="22">
                  <c:v>1E-3</c:v>
                </c:pt>
                <c:pt idx="23">
                  <c:v>1E-3</c:v>
                </c:pt>
                <c:pt idx="24">
                  <c:v>29.192</c:v>
                </c:pt>
                <c:pt idx="25">
                  <c:v>4.3940000000000001</c:v>
                </c:pt>
                <c:pt idx="26">
                  <c:v>20.811</c:v>
                </c:pt>
              </c:numCache>
            </c:numRef>
          </c:val>
          <c:extLst>
            <c:ext xmlns:c16="http://schemas.microsoft.com/office/drawing/2014/chart" uri="{C3380CC4-5D6E-409C-BE32-E72D297353CC}">
              <c16:uniqueId val="{00000000-7AD5-4AED-A63C-941BA61CFBAC}"/>
            </c:ext>
          </c:extLst>
        </c:ser>
        <c:ser>
          <c:idx val="1"/>
          <c:order val="1"/>
          <c:tx>
            <c:strRef>
              <c:f>'OAM raw'!$L$4</c:f>
              <c:strCache>
                <c:ptCount val="1"/>
                <c:pt idx="0">
                  <c:v>Population covered by the Covenant of Mayors for Climate &amp; Energy signatories 2018</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raw'!$L$5:$L$31</c:f>
              <c:numCache>
                <c:formatCode>General</c:formatCode>
                <c:ptCount val="27"/>
                <c:pt idx="0">
                  <c:v>1.94</c:v>
                </c:pt>
                <c:pt idx="1">
                  <c:v>11.18</c:v>
                </c:pt>
                <c:pt idx="2">
                  <c:v>2.601</c:v>
                </c:pt>
                <c:pt idx="3">
                  <c:v>2.0350000000000001</c:v>
                </c:pt>
                <c:pt idx="4">
                  <c:v>0.498</c:v>
                </c:pt>
                <c:pt idx="5">
                  <c:v>2.133</c:v>
                </c:pt>
                <c:pt idx="6">
                  <c:v>3.2370000000000001</c:v>
                </c:pt>
                <c:pt idx="7">
                  <c:v>0.53500000000000003</c:v>
                </c:pt>
                <c:pt idx="8">
                  <c:v>2.1960000000000002</c:v>
                </c:pt>
                <c:pt idx="9">
                  <c:v>15.871</c:v>
                </c:pt>
                <c:pt idx="10">
                  <c:v>18.800999999999998</c:v>
                </c:pt>
                <c:pt idx="11">
                  <c:v>6.51</c:v>
                </c:pt>
                <c:pt idx="12">
                  <c:v>3.7149999999999999</c:v>
                </c:pt>
                <c:pt idx="13">
                  <c:v>2.484</c:v>
                </c:pt>
                <c:pt idx="14">
                  <c:v>45.003999999999998</c:v>
                </c:pt>
                <c:pt idx="15">
                  <c:v>1.1970000000000001</c:v>
                </c:pt>
                <c:pt idx="16">
                  <c:v>1.407</c:v>
                </c:pt>
                <c:pt idx="17">
                  <c:v>2.3E-2</c:v>
                </c:pt>
                <c:pt idx="18">
                  <c:v>0.114</c:v>
                </c:pt>
                <c:pt idx="19">
                  <c:v>4.3620000000000001</c:v>
                </c:pt>
                <c:pt idx="20">
                  <c:v>6.0990000000000002</c:v>
                </c:pt>
                <c:pt idx="21">
                  <c:v>4.9820000000000002</c:v>
                </c:pt>
                <c:pt idx="22">
                  <c:v>0.78</c:v>
                </c:pt>
                <c:pt idx="23">
                  <c:v>0.71</c:v>
                </c:pt>
                <c:pt idx="24">
                  <c:v>30.03</c:v>
                </c:pt>
                <c:pt idx="25">
                  <c:v>4.3979999999999997</c:v>
                </c:pt>
                <c:pt idx="26">
                  <c:v>20.856999999999999</c:v>
                </c:pt>
              </c:numCache>
            </c:numRef>
          </c:val>
          <c:extLst>
            <c:ext xmlns:c16="http://schemas.microsoft.com/office/drawing/2014/chart" uri="{C3380CC4-5D6E-409C-BE32-E72D297353CC}">
              <c16:uniqueId val="{00000001-7AD5-4AED-A63C-941BA61CFBAC}"/>
            </c:ext>
          </c:extLst>
        </c:ser>
        <c:dLbls>
          <c:showLegendKey val="0"/>
          <c:showVal val="0"/>
          <c:showCatName val="0"/>
          <c:showSerName val="0"/>
          <c:showPercent val="0"/>
          <c:showBubbleSize val="0"/>
        </c:dLbls>
        <c:gapWidth val="219"/>
        <c:overlap val="-27"/>
        <c:axId val="1593366208"/>
        <c:axId val="1324652736"/>
      </c:barChart>
      <c:catAx>
        <c:axId val="159336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4652736"/>
        <c:crosses val="autoZero"/>
        <c:auto val="1"/>
        <c:lblAlgn val="ctr"/>
        <c:lblOffset val="100"/>
        <c:noMultiLvlLbl val="0"/>
      </c:catAx>
      <c:valAx>
        <c:axId val="1324652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persons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933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CO2 emissions per Km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raw'!$M$4</c:f>
              <c:strCache>
                <c:ptCount val="1"/>
                <c:pt idx="0">
                  <c:v>Average CO2 emissions per km from new passenger cars 2015</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raw'!$M$5:$M$31</c:f>
              <c:numCache>
                <c:formatCode>General</c:formatCode>
                <c:ptCount val="27"/>
                <c:pt idx="0">
                  <c:v>123.7</c:v>
                </c:pt>
                <c:pt idx="1">
                  <c:v>117.9</c:v>
                </c:pt>
                <c:pt idx="2">
                  <c:v>130.30000000000001</c:v>
                </c:pt>
                <c:pt idx="3">
                  <c:v>112.8</c:v>
                </c:pt>
                <c:pt idx="4">
                  <c:v>125.7</c:v>
                </c:pt>
                <c:pt idx="5">
                  <c:v>126.3</c:v>
                </c:pt>
                <c:pt idx="6">
                  <c:v>106.2</c:v>
                </c:pt>
                <c:pt idx="7">
                  <c:v>137.19999999999999</c:v>
                </c:pt>
                <c:pt idx="8">
                  <c:v>123</c:v>
                </c:pt>
                <c:pt idx="9">
                  <c:v>111</c:v>
                </c:pt>
                <c:pt idx="10">
                  <c:v>128.30000000000001</c:v>
                </c:pt>
                <c:pt idx="11">
                  <c:v>106.4</c:v>
                </c:pt>
                <c:pt idx="12">
                  <c:v>129.6</c:v>
                </c:pt>
                <c:pt idx="13">
                  <c:v>114.1</c:v>
                </c:pt>
                <c:pt idx="14">
                  <c:v>115.2</c:v>
                </c:pt>
                <c:pt idx="15">
                  <c:v>137.1</c:v>
                </c:pt>
                <c:pt idx="16">
                  <c:v>130</c:v>
                </c:pt>
                <c:pt idx="17">
                  <c:v>127.5</c:v>
                </c:pt>
                <c:pt idx="18">
                  <c:v>113.3</c:v>
                </c:pt>
                <c:pt idx="19">
                  <c:v>129.30000000000001</c:v>
                </c:pt>
                <c:pt idx="20">
                  <c:v>105.7</c:v>
                </c:pt>
                <c:pt idx="21">
                  <c:v>125</c:v>
                </c:pt>
                <c:pt idx="22">
                  <c:v>127.6</c:v>
                </c:pt>
                <c:pt idx="23">
                  <c:v>119.2</c:v>
                </c:pt>
                <c:pt idx="24">
                  <c:v>115.3</c:v>
                </c:pt>
                <c:pt idx="25">
                  <c:v>126.3</c:v>
                </c:pt>
                <c:pt idx="26">
                  <c:v>121.3</c:v>
                </c:pt>
              </c:numCache>
            </c:numRef>
          </c:val>
          <c:extLst>
            <c:ext xmlns:c16="http://schemas.microsoft.com/office/drawing/2014/chart" uri="{C3380CC4-5D6E-409C-BE32-E72D297353CC}">
              <c16:uniqueId val="{00000000-0B2C-45B4-BF39-8AE42766D05F}"/>
            </c:ext>
          </c:extLst>
        </c:ser>
        <c:ser>
          <c:idx val="1"/>
          <c:order val="1"/>
          <c:tx>
            <c:strRef>
              <c:f>'OAM raw'!$N$4</c:f>
              <c:strCache>
                <c:ptCount val="1"/>
                <c:pt idx="0">
                  <c:v>Average CO2 emissions per km from new passenger cars 2016</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raw'!$N$5:$N$31</c:f>
              <c:numCache>
                <c:formatCode>General</c:formatCode>
                <c:ptCount val="27"/>
                <c:pt idx="0">
                  <c:v>120.4</c:v>
                </c:pt>
                <c:pt idx="1">
                  <c:v>115.9</c:v>
                </c:pt>
                <c:pt idx="2">
                  <c:v>125.8</c:v>
                </c:pt>
                <c:pt idx="3">
                  <c:v>111.5</c:v>
                </c:pt>
                <c:pt idx="4">
                  <c:v>123.5</c:v>
                </c:pt>
                <c:pt idx="5">
                  <c:v>121.2</c:v>
                </c:pt>
                <c:pt idx="6">
                  <c:v>106</c:v>
                </c:pt>
                <c:pt idx="7">
                  <c:v>133.9</c:v>
                </c:pt>
                <c:pt idx="8">
                  <c:v>120</c:v>
                </c:pt>
                <c:pt idx="9">
                  <c:v>109.8</c:v>
                </c:pt>
                <c:pt idx="10">
                  <c:v>126.9</c:v>
                </c:pt>
                <c:pt idx="11">
                  <c:v>106.3</c:v>
                </c:pt>
                <c:pt idx="12">
                  <c:v>125.9</c:v>
                </c:pt>
                <c:pt idx="13">
                  <c:v>112</c:v>
                </c:pt>
                <c:pt idx="14">
                  <c:v>113.3</c:v>
                </c:pt>
                <c:pt idx="15">
                  <c:v>128.9</c:v>
                </c:pt>
                <c:pt idx="16">
                  <c:v>126.2</c:v>
                </c:pt>
                <c:pt idx="17">
                  <c:v>126.1</c:v>
                </c:pt>
                <c:pt idx="18">
                  <c:v>111.8</c:v>
                </c:pt>
                <c:pt idx="19">
                  <c:v>125.8</c:v>
                </c:pt>
                <c:pt idx="20">
                  <c:v>104.7</c:v>
                </c:pt>
                <c:pt idx="21">
                  <c:v>122</c:v>
                </c:pt>
                <c:pt idx="22">
                  <c:v>124.8</c:v>
                </c:pt>
                <c:pt idx="23">
                  <c:v>119</c:v>
                </c:pt>
                <c:pt idx="24">
                  <c:v>114.4</c:v>
                </c:pt>
                <c:pt idx="25">
                  <c:v>123.1</c:v>
                </c:pt>
                <c:pt idx="26">
                  <c:v>120.1</c:v>
                </c:pt>
              </c:numCache>
            </c:numRef>
          </c:val>
          <c:extLst>
            <c:ext xmlns:c16="http://schemas.microsoft.com/office/drawing/2014/chart" uri="{C3380CC4-5D6E-409C-BE32-E72D297353CC}">
              <c16:uniqueId val="{00000001-0B2C-45B4-BF39-8AE42766D05F}"/>
            </c:ext>
          </c:extLst>
        </c:ser>
        <c:ser>
          <c:idx val="2"/>
          <c:order val="2"/>
          <c:tx>
            <c:strRef>
              <c:f>'OAM raw'!$O$4</c:f>
              <c:strCache>
                <c:ptCount val="1"/>
                <c:pt idx="0">
                  <c:v>Average CO2 emissions per km from new passenger cars 2017</c:v>
                </c:pt>
              </c:strCache>
            </c:strRef>
          </c:tx>
          <c:spPr>
            <a:solidFill>
              <a:schemeClr val="accent3"/>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raw'!$O$5:$O$31</c:f>
              <c:numCache>
                <c:formatCode>General</c:formatCode>
                <c:ptCount val="27"/>
                <c:pt idx="0">
                  <c:v>120.7</c:v>
                </c:pt>
                <c:pt idx="1">
                  <c:v>115.9</c:v>
                </c:pt>
                <c:pt idx="2">
                  <c:v>126.1</c:v>
                </c:pt>
                <c:pt idx="3">
                  <c:v>113.1</c:v>
                </c:pt>
                <c:pt idx="4">
                  <c:v>122.2</c:v>
                </c:pt>
                <c:pt idx="5">
                  <c:v>124.4</c:v>
                </c:pt>
                <c:pt idx="6">
                  <c:v>107.1</c:v>
                </c:pt>
                <c:pt idx="7">
                  <c:v>132.80000000000001</c:v>
                </c:pt>
                <c:pt idx="8">
                  <c:v>118.2</c:v>
                </c:pt>
                <c:pt idx="9">
                  <c:v>110.4</c:v>
                </c:pt>
                <c:pt idx="10">
                  <c:v>127.1</c:v>
                </c:pt>
                <c:pt idx="11">
                  <c:v>108.8</c:v>
                </c:pt>
                <c:pt idx="12">
                  <c:v>125.6</c:v>
                </c:pt>
                <c:pt idx="13">
                  <c:v>111.6</c:v>
                </c:pt>
                <c:pt idx="14">
                  <c:v>113.4</c:v>
                </c:pt>
                <c:pt idx="15">
                  <c:v>128.80000000000001</c:v>
                </c:pt>
                <c:pt idx="16">
                  <c:v>127.4</c:v>
                </c:pt>
                <c:pt idx="17">
                  <c:v>127</c:v>
                </c:pt>
                <c:pt idx="18">
                  <c:v>110.4</c:v>
                </c:pt>
                <c:pt idx="19">
                  <c:v>127.7</c:v>
                </c:pt>
                <c:pt idx="20">
                  <c:v>104.6</c:v>
                </c:pt>
                <c:pt idx="21">
                  <c:v>120.6</c:v>
                </c:pt>
                <c:pt idx="22">
                  <c:v>126.1</c:v>
                </c:pt>
                <c:pt idx="23">
                  <c:v>119.6</c:v>
                </c:pt>
                <c:pt idx="24">
                  <c:v>115</c:v>
                </c:pt>
                <c:pt idx="25">
                  <c:v>122.3</c:v>
                </c:pt>
                <c:pt idx="26">
                  <c:v>121.1</c:v>
                </c:pt>
              </c:numCache>
            </c:numRef>
          </c:val>
          <c:extLst>
            <c:ext xmlns:c16="http://schemas.microsoft.com/office/drawing/2014/chart" uri="{C3380CC4-5D6E-409C-BE32-E72D297353CC}">
              <c16:uniqueId val="{00000002-0B2C-45B4-BF39-8AE42766D05F}"/>
            </c:ext>
          </c:extLst>
        </c:ser>
        <c:dLbls>
          <c:showLegendKey val="0"/>
          <c:showVal val="0"/>
          <c:showCatName val="0"/>
          <c:showSerName val="0"/>
          <c:showPercent val="0"/>
          <c:showBubbleSize val="0"/>
        </c:dLbls>
        <c:gapWidth val="219"/>
        <c:overlap val="-27"/>
        <c:axId val="1323987264"/>
        <c:axId val="1466133296"/>
      </c:barChart>
      <c:catAx>
        <c:axId val="132398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133296"/>
        <c:crosses val="autoZero"/>
        <c:auto val="1"/>
        <c:lblAlgn val="ctr"/>
        <c:lblOffset val="100"/>
        <c:noMultiLvlLbl val="0"/>
      </c:catAx>
      <c:valAx>
        <c:axId val="1466133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gram per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9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1"/>
        <c:ser>
          <c:idx val="0"/>
          <c:order val="0"/>
          <c:tx>
            <c:strRef>
              <c:f>'OAM ranked'!$P$2</c:f>
              <c:strCache>
                <c:ptCount val="1"/>
                <c:pt idx="0">
                  <c:v>estimated GGEI</c:v>
                </c:pt>
              </c:strCache>
            </c:strRef>
          </c:tx>
          <c:spPr>
            <a:ln>
              <a:solidFill>
                <a:schemeClr val="tx1"/>
              </a:solidFill>
            </a:ln>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F967-4485-B442-A63378EDFA64}"/>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F967-4485-B442-A63378EDFA64}"/>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F967-4485-B442-A63378EDFA64}"/>
              </c:ext>
            </c:extLst>
          </c:dPt>
          <c:dPt>
            <c:idx val="3"/>
            <c:invertIfNegative val="0"/>
            <c:bubble3D val="0"/>
            <c:spPr>
              <a:solidFill>
                <a:schemeClr val="accent4"/>
              </a:solidFill>
              <a:ln>
                <a:solidFill>
                  <a:schemeClr val="tx1"/>
                </a:solidFill>
              </a:ln>
              <a:effectLst/>
            </c:spPr>
            <c:extLst>
              <c:ext xmlns:c16="http://schemas.microsoft.com/office/drawing/2014/chart" uri="{C3380CC4-5D6E-409C-BE32-E72D297353CC}">
                <c16:uniqueId val="{00000007-F967-4485-B442-A63378EDFA64}"/>
              </c:ext>
            </c:extLst>
          </c:dPt>
          <c:dPt>
            <c:idx val="4"/>
            <c:invertIfNegative val="0"/>
            <c:bubble3D val="0"/>
            <c:spPr>
              <a:solidFill>
                <a:schemeClr val="accent5"/>
              </a:solidFill>
              <a:ln>
                <a:solidFill>
                  <a:schemeClr val="tx1"/>
                </a:solidFill>
              </a:ln>
              <a:effectLst/>
            </c:spPr>
            <c:extLst>
              <c:ext xmlns:c16="http://schemas.microsoft.com/office/drawing/2014/chart" uri="{C3380CC4-5D6E-409C-BE32-E72D297353CC}">
                <c16:uniqueId val="{00000009-F967-4485-B442-A63378EDFA64}"/>
              </c:ext>
            </c:extLst>
          </c:dPt>
          <c:dPt>
            <c:idx val="5"/>
            <c:invertIfNegative val="0"/>
            <c:bubble3D val="0"/>
            <c:spPr>
              <a:solidFill>
                <a:schemeClr val="accent6"/>
              </a:solidFill>
              <a:ln>
                <a:solidFill>
                  <a:schemeClr val="tx1"/>
                </a:solidFill>
              </a:ln>
              <a:effectLst/>
            </c:spPr>
            <c:extLst>
              <c:ext xmlns:c16="http://schemas.microsoft.com/office/drawing/2014/chart" uri="{C3380CC4-5D6E-409C-BE32-E72D297353CC}">
                <c16:uniqueId val="{0000000B-F967-4485-B442-A63378EDFA64}"/>
              </c:ext>
            </c:extLst>
          </c:dPt>
          <c:dPt>
            <c:idx val="6"/>
            <c:invertIfNegative val="0"/>
            <c:bubble3D val="0"/>
            <c:spPr>
              <a:solidFill>
                <a:schemeClr val="accent1">
                  <a:lumMod val="60000"/>
                </a:schemeClr>
              </a:solidFill>
              <a:ln>
                <a:solidFill>
                  <a:schemeClr val="tx1"/>
                </a:solidFill>
              </a:ln>
              <a:effectLst/>
            </c:spPr>
            <c:extLst>
              <c:ext xmlns:c16="http://schemas.microsoft.com/office/drawing/2014/chart" uri="{C3380CC4-5D6E-409C-BE32-E72D297353CC}">
                <c16:uniqueId val="{0000000D-F967-4485-B442-A63378EDFA64}"/>
              </c:ext>
            </c:extLst>
          </c:dPt>
          <c:dPt>
            <c:idx val="7"/>
            <c:invertIfNegative val="0"/>
            <c:bubble3D val="0"/>
            <c:spPr>
              <a:solidFill>
                <a:schemeClr val="accent2">
                  <a:lumMod val="60000"/>
                </a:schemeClr>
              </a:solidFill>
              <a:ln>
                <a:solidFill>
                  <a:schemeClr val="tx1"/>
                </a:solidFill>
              </a:ln>
              <a:effectLst/>
            </c:spPr>
            <c:extLst>
              <c:ext xmlns:c16="http://schemas.microsoft.com/office/drawing/2014/chart" uri="{C3380CC4-5D6E-409C-BE32-E72D297353CC}">
                <c16:uniqueId val="{0000000F-F967-4485-B442-A63378EDFA64}"/>
              </c:ext>
            </c:extLst>
          </c:dPt>
          <c:dPt>
            <c:idx val="8"/>
            <c:invertIfNegative val="0"/>
            <c:bubble3D val="0"/>
            <c:spPr>
              <a:solidFill>
                <a:schemeClr val="accent3">
                  <a:lumMod val="60000"/>
                </a:schemeClr>
              </a:solidFill>
              <a:ln>
                <a:solidFill>
                  <a:schemeClr val="tx1"/>
                </a:solidFill>
              </a:ln>
              <a:effectLst/>
            </c:spPr>
            <c:extLst>
              <c:ext xmlns:c16="http://schemas.microsoft.com/office/drawing/2014/chart" uri="{C3380CC4-5D6E-409C-BE32-E72D297353CC}">
                <c16:uniqueId val="{00000011-F967-4485-B442-A63378EDFA64}"/>
              </c:ext>
            </c:extLst>
          </c:dPt>
          <c:dPt>
            <c:idx val="9"/>
            <c:invertIfNegative val="0"/>
            <c:bubble3D val="0"/>
            <c:spPr>
              <a:solidFill>
                <a:schemeClr val="accent4">
                  <a:lumMod val="60000"/>
                </a:schemeClr>
              </a:solidFill>
              <a:ln>
                <a:solidFill>
                  <a:schemeClr val="tx1"/>
                </a:solidFill>
              </a:ln>
              <a:effectLst/>
            </c:spPr>
            <c:extLst>
              <c:ext xmlns:c16="http://schemas.microsoft.com/office/drawing/2014/chart" uri="{C3380CC4-5D6E-409C-BE32-E72D297353CC}">
                <c16:uniqueId val="{00000013-F967-4485-B442-A63378EDFA64}"/>
              </c:ext>
            </c:extLst>
          </c:dPt>
          <c:dPt>
            <c:idx val="10"/>
            <c:invertIfNegative val="0"/>
            <c:bubble3D val="0"/>
            <c:spPr>
              <a:solidFill>
                <a:schemeClr val="accent5">
                  <a:lumMod val="60000"/>
                </a:schemeClr>
              </a:solidFill>
              <a:ln>
                <a:solidFill>
                  <a:schemeClr val="tx1"/>
                </a:solidFill>
              </a:ln>
              <a:effectLst/>
            </c:spPr>
            <c:extLst>
              <c:ext xmlns:c16="http://schemas.microsoft.com/office/drawing/2014/chart" uri="{C3380CC4-5D6E-409C-BE32-E72D297353CC}">
                <c16:uniqueId val="{00000015-F967-4485-B442-A63378EDFA64}"/>
              </c:ext>
            </c:extLst>
          </c:dPt>
          <c:dPt>
            <c:idx val="11"/>
            <c:invertIfNegative val="0"/>
            <c:bubble3D val="0"/>
            <c:spPr>
              <a:solidFill>
                <a:schemeClr val="accent6">
                  <a:lumMod val="60000"/>
                </a:schemeClr>
              </a:solidFill>
              <a:ln>
                <a:solidFill>
                  <a:schemeClr val="tx1"/>
                </a:solidFill>
              </a:ln>
              <a:effectLst/>
            </c:spPr>
            <c:extLst>
              <c:ext xmlns:c16="http://schemas.microsoft.com/office/drawing/2014/chart" uri="{C3380CC4-5D6E-409C-BE32-E72D297353CC}">
                <c16:uniqueId val="{00000017-F967-4485-B442-A63378EDFA64}"/>
              </c:ext>
            </c:extLst>
          </c:dPt>
          <c:dPt>
            <c:idx val="12"/>
            <c:invertIfNegative val="0"/>
            <c:bubble3D val="0"/>
            <c:spPr>
              <a:solidFill>
                <a:schemeClr val="accent1">
                  <a:lumMod val="80000"/>
                  <a:lumOff val="20000"/>
                </a:schemeClr>
              </a:solidFill>
              <a:ln>
                <a:solidFill>
                  <a:schemeClr val="tx1"/>
                </a:solidFill>
              </a:ln>
              <a:effectLst/>
            </c:spPr>
            <c:extLst>
              <c:ext xmlns:c16="http://schemas.microsoft.com/office/drawing/2014/chart" uri="{C3380CC4-5D6E-409C-BE32-E72D297353CC}">
                <c16:uniqueId val="{00000019-F967-4485-B442-A63378EDFA64}"/>
              </c:ext>
            </c:extLst>
          </c:dPt>
          <c:dPt>
            <c:idx val="13"/>
            <c:invertIfNegative val="0"/>
            <c:bubble3D val="0"/>
            <c:spPr>
              <a:solidFill>
                <a:schemeClr val="accent2">
                  <a:lumMod val="80000"/>
                  <a:lumOff val="20000"/>
                </a:schemeClr>
              </a:solidFill>
              <a:ln>
                <a:solidFill>
                  <a:schemeClr val="tx1"/>
                </a:solidFill>
              </a:ln>
              <a:effectLst/>
            </c:spPr>
            <c:extLst>
              <c:ext xmlns:c16="http://schemas.microsoft.com/office/drawing/2014/chart" uri="{C3380CC4-5D6E-409C-BE32-E72D297353CC}">
                <c16:uniqueId val="{0000001B-F967-4485-B442-A63378EDFA64}"/>
              </c:ext>
            </c:extLst>
          </c:dPt>
          <c:dPt>
            <c:idx val="14"/>
            <c:invertIfNegative val="0"/>
            <c:bubble3D val="0"/>
            <c:spPr>
              <a:solidFill>
                <a:schemeClr val="accent3">
                  <a:lumMod val="80000"/>
                  <a:lumOff val="20000"/>
                </a:schemeClr>
              </a:solidFill>
              <a:ln>
                <a:solidFill>
                  <a:schemeClr val="tx1"/>
                </a:solidFill>
              </a:ln>
              <a:effectLst/>
            </c:spPr>
            <c:extLst>
              <c:ext xmlns:c16="http://schemas.microsoft.com/office/drawing/2014/chart" uri="{C3380CC4-5D6E-409C-BE32-E72D297353CC}">
                <c16:uniqueId val="{0000001D-F967-4485-B442-A63378EDFA64}"/>
              </c:ext>
            </c:extLst>
          </c:dPt>
          <c:dPt>
            <c:idx val="15"/>
            <c:invertIfNegative val="0"/>
            <c:bubble3D val="0"/>
            <c:spPr>
              <a:solidFill>
                <a:schemeClr val="accent4">
                  <a:lumMod val="80000"/>
                  <a:lumOff val="20000"/>
                </a:schemeClr>
              </a:solidFill>
              <a:ln>
                <a:solidFill>
                  <a:schemeClr val="tx1"/>
                </a:solidFill>
              </a:ln>
              <a:effectLst/>
            </c:spPr>
            <c:extLst>
              <c:ext xmlns:c16="http://schemas.microsoft.com/office/drawing/2014/chart" uri="{C3380CC4-5D6E-409C-BE32-E72D297353CC}">
                <c16:uniqueId val="{0000001F-F967-4485-B442-A63378EDFA64}"/>
              </c:ext>
            </c:extLst>
          </c:dPt>
          <c:dPt>
            <c:idx val="16"/>
            <c:invertIfNegative val="0"/>
            <c:bubble3D val="0"/>
            <c:spPr>
              <a:solidFill>
                <a:schemeClr val="accent5">
                  <a:lumMod val="80000"/>
                  <a:lumOff val="20000"/>
                </a:schemeClr>
              </a:solidFill>
              <a:ln>
                <a:solidFill>
                  <a:schemeClr val="tx1"/>
                </a:solidFill>
              </a:ln>
              <a:effectLst/>
            </c:spPr>
            <c:extLst>
              <c:ext xmlns:c16="http://schemas.microsoft.com/office/drawing/2014/chart" uri="{C3380CC4-5D6E-409C-BE32-E72D297353CC}">
                <c16:uniqueId val="{00000021-F967-4485-B442-A63378EDFA64}"/>
              </c:ext>
            </c:extLst>
          </c:dPt>
          <c:dPt>
            <c:idx val="17"/>
            <c:invertIfNegative val="0"/>
            <c:bubble3D val="0"/>
            <c:spPr>
              <a:solidFill>
                <a:schemeClr val="accent6">
                  <a:lumMod val="80000"/>
                  <a:lumOff val="20000"/>
                </a:schemeClr>
              </a:solidFill>
              <a:ln>
                <a:solidFill>
                  <a:schemeClr val="tx1"/>
                </a:solidFill>
              </a:ln>
              <a:effectLst/>
            </c:spPr>
            <c:extLst>
              <c:ext xmlns:c16="http://schemas.microsoft.com/office/drawing/2014/chart" uri="{C3380CC4-5D6E-409C-BE32-E72D297353CC}">
                <c16:uniqueId val="{00000023-F967-4485-B442-A63378EDFA64}"/>
              </c:ext>
            </c:extLst>
          </c:dPt>
          <c:dPt>
            <c:idx val="18"/>
            <c:invertIfNegative val="0"/>
            <c:bubble3D val="0"/>
            <c:spPr>
              <a:solidFill>
                <a:schemeClr val="accent1">
                  <a:lumMod val="80000"/>
                </a:schemeClr>
              </a:solidFill>
              <a:ln>
                <a:solidFill>
                  <a:schemeClr val="tx1"/>
                </a:solidFill>
              </a:ln>
              <a:effectLst/>
            </c:spPr>
            <c:extLst>
              <c:ext xmlns:c16="http://schemas.microsoft.com/office/drawing/2014/chart" uri="{C3380CC4-5D6E-409C-BE32-E72D297353CC}">
                <c16:uniqueId val="{00000025-F967-4485-B442-A63378EDFA64}"/>
              </c:ext>
            </c:extLst>
          </c:dPt>
          <c:dPt>
            <c:idx val="19"/>
            <c:invertIfNegative val="0"/>
            <c:bubble3D val="0"/>
            <c:spPr>
              <a:solidFill>
                <a:schemeClr val="accent2">
                  <a:lumMod val="80000"/>
                </a:schemeClr>
              </a:solidFill>
              <a:ln>
                <a:solidFill>
                  <a:schemeClr val="tx1"/>
                </a:solidFill>
              </a:ln>
              <a:effectLst/>
            </c:spPr>
            <c:extLst>
              <c:ext xmlns:c16="http://schemas.microsoft.com/office/drawing/2014/chart" uri="{C3380CC4-5D6E-409C-BE32-E72D297353CC}">
                <c16:uniqueId val="{00000027-F967-4485-B442-A63378EDFA64}"/>
              </c:ext>
            </c:extLst>
          </c:dPt>
          <c:dPt>
            <c:idx val="20"/>
            <c:invertIfNegative val="0"/>
            <c:bubble3D val="0"/>
            <c:spPr>
              <a:solidFill>
                <a:schemeClr val="accent3">
                  <a:lumMod val="80000"/>
                </a:schemeClr>
              </a:solidFill>
              <a:ln>
                <a:solidFill>
                  <a:schemeClr val="tx1"/>
                </a:solidFill>
              </a:ln>
              <a:effectLst/>
            </c:spPr>
            <c:extLst>
              <c:ext xmlns:c16="http://schemas.microsoft.com/office/drawing/2014/chart" uri="{C3380CC4-5D6E-409C-BE32-E72D297353CC}">
                <c16:uniqueId val="{00000029-F967-4485-B442-A63378EDFA64}"/>
              </c:ext>
            </c:extLst>
          </c:dPt>
          <c:dPt>
            <c:idx val="21"/>
            <c:invertIfNegative val="0"/>
            <c:bubble3D val="0"/>
            <c:spPr>
              <a:solidFill>
                <a:schemeClr val="accent4">
                  <a:lumMod val="80000"/>
                </a:schemeClr>
              </a:solidFill>
              <a:ln>
                <a:solidFill>
                  <a:schemeClr val="tx1"/>
                </a:solidFill>
              </a:ln>
              <a:effectLst/>
            </c:spPr>
            <c:extLst>
              <c:ext xmlns:c16="http://schemas.microsoft.com/office/drawing/2014/chart" uri="{C3380CC4-5D6E-409C-BE32-E72D297353CC}">
                <c16:uniqueId val="{0000002B-F967-4485-B442-A63378EDFA64}"/>
              </c:ext>
            </c:extLst>
          </c:dPt>
          <c:dPt>
            <c:idx val="22"/>
            <c:invertIfNegative val="0"/>
            <c:bubble3D val="0"/>
            <c:spPr>
              <a:solidFill>
                <a:schemeClr val="accent5">
                  <a:lumMod val="80000"/>
                </a:schemeClr>
              </a:solidFill>
              <a:ln>
                <a:solidFill>
                  <a:schemeClr val="tx1"/>
                </a:solidFill>
              </a:ln>
              <a:effectLst/>
            </c:spPr>
            <c:extLst>
              <c:ext xmlns:c16="http://schemas.microsoft.com/office/drawing/2014/chart" uri="{C3380CC4-5D6E-409C-BE32-E72D297353CC}">
                <c16:uniqueId val="{0000002D-F967-4485-B442-A63378EDFA64}"/>
              </c:ext>
            </c:extLst>
          </c:dPt>
          <c:dPt>
            <c:idx val="23"/>
            <c:invertIfNegative val="0"/>
            <c:bubble3D val="0"/>
            <c:spPr>
              <a:solidFill>
                <a:schemeClr val="accent6">
                  <a:lumMod val="80000"/>
                </a:schemeClr>
              </a:solidFill>
              <a:ln>
                <a:solidFill>
                  <a:schemeClr val="tx1"/>
                </a:solidFill>
              </a:ln>
              <a:effectLst/>
            </c:spPr>
            <c:extLst>
              <c:ext xmlns:c16="http://schemas.microsoft.com/office/drawing/2014/chart" uri="{C3380CC4-5D6E-409C-BE32-E72D297353CC}">
                <c16:uniqueId val="{0000002F-F967-4485-B442-A63378EDFA64}"/>
              </c:ext>
            </c:extLst>
          </c:dPt>
          <c:dPt>
            <c:idx val="24"/>
            <c:invertIfNegative val="0"/>
            <c:bubble3D val="0"/>
            <c:spPr>
              <a:solidFill>
                <a:schemeClr val="accent1">
                  <a:lumMod val="60000"/>
                  <a:lumOff val="40000"/>
                </a:schemeClr>
              </a:solidFill>
              <a:ln>
                <a:solidFill>
                  <a:schemeClr val="tx1"/>
                </a:solidFill>
              </a:ln>
              <a:effectLst/>
            </c:spPr>
            <c:extLst>
              <c:ext xmlns:c16="http://schemas.microsoft.com/office/drawing/2014/chart" uri="{C3380CC4-5D6E-409C-BE32-E72D297353CC}">
                <c16:uniqueId val="{00000031-F967-4485-B442-A63378EDFA64}"/>
              </c:ext>
            </c:extLst>
          </c:dPt>
          <c:dPt>
            <c:idx val="25"/>
            <c:invertIfNegative val="0"/>
            <c:bubble3D val="0"/>
            <c:spPr>
              <a:solidFill>
                <a:schemeClr val="accent2">
                  <a:lumMod val="60000"/>
                  <a:lumOff val="40000"/>
                </a:schemeClr>
              </a:solidFill>
              <a:ln>
                <a:solidFill>
                  <a:schemeClr val="tx1"/>
                </a:solidFill>
              </a:ln>
              <a:effectLst/>
            </c:spPr>
            <c:extLst>
              <c:ext xmlns:c16="http://schemas.microsoft.com/office/drawing/2014/chart" uri="{C3380CC4-5D6E-409C-BE32-E72D297353CC}">
                <c16:uniqueId val="{00000033-F967-4485-B442-A63378EDFA64}"/>
              </c:ext>
            </c:extLst>
          </c:dPt>
          <c:dPt>
            <c:idx val="26"/>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35-F967-4485-B442-A63378EDFA64}"/>
              </c:ext>
            </c:extLst>
          </c:dPt>
          <c:cat>
            <c:strRef>
              <c:f>'OAM ranked'!$A$3:$A$29</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ranked'!$P$3:$P$29</c:f>
              <c:numCache>
                <c:formatCode>General</c:formatCode>
                <c:ptCount val="27"/>
                <c:pt idx="0">
                  <c:v>569</c:v>
                </c:pt>
                <c:pt idx="1">
                  <c:v>572.5</c:v>
                </c:pt>
                <c:pt idx="2">
                  <c:v>401.6</c:v>
                </c:pt>
                <c:pt idx="3">
                  <c:v>490.5</c:v>
                </c:pt>
                <c:pt idx="4">
                  <c:v>450.6</c:v>
                </c:pt>
                <c:pt idx="5">
                  <c:v>516.5</c:v>
                </c:pt>
                <c:pt idx="6">
                  <c:v>679.4</c:v>
                </c:pt>
                <c:pt idx="7">
                  <c:v>465.6</c:v>
                </c:pt>
                <c:pt idx="8">
                  <c:v>698.3</c:v>
                </c:pt>
                <c:pt idx="9">
                  <c:v>639.4</c:v>
                </c:pt>
                <c:pt idx="10">
                  <c:v>688.3</c:v>
                </c:pt>
                <c:pt idx="11">
                  <c:v>547.5</c:v>
                </c:pt>
                <c:pt idx="12">
                  <c:v>540.5</c:v>
                </c:pt>
                <c:pt idx="13">
                  <c:v>629.9</c:v>
                </c:pt>
                <c:pt idx="14">
                  <c:v>559.5</c:v>
                </c:pt>
                <c:pt idx="15">
                  <c:v>462.1</c:v>
                </c:pt>
                <c:pt idx="16">
                  <c:v>514.5</c:v>
                </c:pt>
                <c:pt idx="17">
                  <c:v>522.5</c:v>
                </c:pt>
                <c:pt idx="18">
                  <c:v>515.5</c:v>
                </c:pt>
                <c:pt idx="19">
                  <c:v>409.6</c:v>
                </c:pt>
                <c:pt idx="20">
                  <c:v>543.5</c:v>
                </c:pt>
                <c:pt idx="21">
                  <c:v>478.5</c:v>
                </c:pt>
                <c:pt idx="22">
                  <c:v>418.6</c:v>
                </c:pt>
                <c:pt idx="23">
                  <c:v>504.5</c:v>
                </c:pt>
                <c:pt idx="24">
                  <c:v>540.5</c:v>
                </c:pt>
                <c:pt idx="25">
                  <c:v>759.3</c:v>
                </c:pt>
                <c:pt idx="26">
                  <c:v>670.9</c:v>
                </c:pt>
              </c:numCache>
            </c:numRef>
          </c:val>
          <c:extLst>
            <c:ext xmlns:c16="http://schemas.microsoft.com/office/drawing/2014/chart" uri="{C3380CC4-5D6E-409C-BE32-E72D297353CC}">
              <c16:uniqueId val="{00000036-F967-4485-B442-A63378EDFA64}"/>
            </c:ext>
          </c:extLst>
        </c:ser>
        <c:dLbls>
          <c:showLegendKey val="0"/>
          <c:showVal val="0"/>
          <c:showCatName val="0"/>
          <c:showSerName val="0"/>
          <c:showPercent val="0"/>
          <c:showBubbleSize val="0"/>
        </c:dLbls>
        <c:gapWidth val="0"/>
        <c:overlap val="-27"/>
        <c:axId val="1233759168"/>
        <c:axId val="1466125392"/>
      </c:barChart>
      <c:catAx>
        <c:axId val="12337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125392"/>
        <c:crosses val="autoZero"/>
        <c:auto val="1"/>
        <c:lblAlgn val="ctr"/>
        <c:lblOffset val="100"/>
        <c:noMultiLvlLbl val="0"/>
      </c:catAx>
      <c:valAx>
        <c:axId val="1466125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3375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GGEI 2018 vs estimated GGEI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'OAM ranked'!$O$2</c:f>
              <c:strCache>
                <c:ptCount val="1"/>
                <c:pt idx="0">
                  <c:v>GGEI 2018</c:v>
                </c:pt>
              </c:strCache>
            </c:strRef>
          </c:tx>
          <c:spPr>
            <a:ln w="28575" cap="rnd">
              <a:solidFill>
                <a:schemeClr val="accent1"/>
              </a:solidFill>
              <a:round/>
            </a:ln>
            <a:effectLst/>
          </c:spPr>
          <c:marker>
            <c:symbol val="none"/>
          </c:marker>
          <c:cat>
            <c:strRef>
              <c:f>'OAM ranked'!$A$3:$A$29</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ranked'!$O$3:$O$29</c:f>
              <c:numCache>
                <c:formatCode>General</c:formatCode>
                <c:ptCount val="27"/>
                <c:pt idx="0">
                  <c:v>647</c:v>
                </c:pt>
                <c:pt idx="1">
                  <c:v>573</c:v>
                </c:pt>
                <c:pt idx="2">
                  <c:v>402</c:v>
                </c:pt>
                <c:pt idx="3">
                  <c:v>491</c:v>
                </c:pt>
                <c:pt idx="4">
                  <c:v>451</c:v>
                </c:pt>
                <c:pt idx="5">
                  <c:v>477</c:v>
                </c:pt>
                <c:pt idx="6">
                  <c:v>680</c:v>
                </c:pt>
                <c:pt idx="7">
                  <c:v>466</c:v>
                </c:pt>
                <c:pt idx="8">
                  <c:v>699</c:v>
                </c:pt>
                <c:pt idx="9">
                  <c:v>640</c:v>
                </c:pt>
                <c:pt idx="10">
                  <c:v>689</c:v>
                </c:pt>
                <c:pt idx="11">
                  <c:v>548</c:v>
                </c:pt>
                <c:pt idx="12">
                  <c:v>541</c:v>
                </c:pt>
                <c:pt idx="13">
                  <c:v>599</c:v>
                </c:pt>
                <c:pt idx="14">
                  <c:v>560</c:v>
                </c:pt>
                <c:pt idx="15">
                  <c:v>463</c:v>
                </c:pt>
                <c:pt idx="16">
                  <c:v>515</c:v>
                </c:pt>
                <c:pt idx="17">
                  <c:v>523</c:v>
                </c:pt>
                <c:pt idx="18">
                  <c:v>516</c:v>
                </c:pt>
                <c:pt idx="19">
                  <c:v>410</c:v>
                </c:pt>
                <c:pt idx="20">
                  <c:v>540</c:v>
                </c:pt>
                <c:pt idx="21">
                  <c:v>479</c:v>
                </c:pt>
                <c:pt idx="22">
                  <c:v>452</c:v>
                </c:pt>
                <c:pt idx="23">
                  <c:v>505</c:v>
                </c:pt>
                <c:pt idx="24">
                  <c:v>541</c:v>
                </c:pt>
                <c:pt idx="25">
                  <c:v>760</c:v>
                </c:pt>
                <c:pt idx="26">
                  <c:v>622</c:v>
                </c:pt>
              </c:numCache>
            </c:numRef>
          </c:val>
          <c:smooth val="0"/>
          <c:extLst>
            <c:ext xmlns:c16="http://schemas.microsoft.com/office/drawing/2014/chart" uri="{C3380CC4-5D6E-409C-BE32-E72D297353CC}">
              <c16:uniqueId val="{00000000-1F5A-410A-A2A5-BDD9B888582E}"/>
            </c:ext>
          </c:extLst>
        </c:ser>
        <c:ser>
          <c:idx val="1"/>
          <c:order val="1"/>
          <c:tx>
            <c:strRef>
              <c:f>'OAM ranked'!$P$2</c:f>
              <c:strCache>
                <c:ptCount val="1"/>
                <c:pt idx="0">
                  <c:v>estimated GGEI</c:v>
                </c:pt>
              </c:strCache>
            </c:strRef>
          </c:tx>
          <c:spPr>
            <a:ln w="28575" cap="rnd">
              <a:solidFill>
                <a:schemeClr val="accent2"/>
              </a:solidFill>
              <a:round/>
            </a:ln>
            <a:effectLst/>
          </c:spPr>
          <c:marker>
            <c:symbol val="none"/>
          </c:marker>
          <c:cat>
            <c:strRef>
              <c:f>'OAM ranked'!$A$3:$A$29</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ranked'!$P$3:$P$29</c:f>
              <c:numCache>
                <c:formatCode>General</c:formatCode>
                <c:ptCount val="27"/>
                <c:pt idx="0">
                  <c:v>569</c:v>
                </c:pt>
                <c:pt idx="1">
                  <c:v>572.5</c:v>
                </c:pt>
                <c:pt idx="2">
                  <c:v>401.6</c:v>
                </c:pt>
                <c:pt idx="3">
                  <c:v>490.5</c:v>
                </c:pt>
                <c:pt idx="4">
                  <c:v>450.6</c:v>
                </c:pt>
                <c:pt idx="5">
                  <c:v>516.5</c:v>
                </c:pt>
                <c:pt idx="6">
                  <c:v>679.4</c:v>
                </c:pt>
                <c:pt idx="7">
                  <c:v>465.6</c:v>
                </c:pt>
                <c:pt idx="8">
                  <c:v>698.3</c:v>
                </c:pt>
                <c:pt idx="9">
                  <c:v>639.4</c:v>
                </c:pt>
                <c:pt idx="10">
                  <c:v>688.3</c:v>
                </c:pt>
                <c:pt idx="11">
                  <c:v>547.5</c:v>
                </c:pt>
                <c:pt idx="12">
                  <c:v>540.5</c:v>
                </c:pt>
                <c:pt idx="13">
                  <c:v>629.9</c:v>
                </c:pt>
                <c:pt idx="14">
                  <c:v>559.5</c:v>
                </c:pt>
                <c:pt idx="15">
                  <c:v>462.1</c:v>
                </c:pt>
                <c:pt idx="16">
                  <c:v>514.5</c:v>
                </c:pt>
                <c:pt idx="17">
                  <c:v>522.5</c:v>
                </c:pt>
                <c:pt idx="18">
                  <c:v>515.5</c:v>
                </c:pt>
                <c:pt idx="19">
                  <c:v>409.6</c:v>
                </c:pt>
                <c:pt idx="20">
                  <c:v>543.5</c:v>
                </c:pt>
                <c:pt idx="21">
                  <c:v>478.5</c:v>
                </c:pt>
                <c:pt idx="22">
                  <c:v>418.6</c:v>
                </c:pt>
                <c:pt idx="23">
                  <c:v>504.5</c:v>
                </c:pt>
                <c:pt idx="24">
                  <c:v>540.5</c:v>
                </c:pt>
                <c:pt idx="25">
                  <c:v>759.3</c:v>
                </c:pt>
                <c:pt idx="26">
                  <c:v>670.9</c:v>
                </c:pt>
              </c:numCache>
            </c:numRef>
          </c:val>
          <c:smooth val="0"/>
          <c:extLst>
            <c:ext xmlns:c16="http://schemas.microsoft.com/office/drawing/2014/chart" uri="{C3380CC4-5D6E-409C-BE32-E72D297353CC}">
              <c16:uniqueId val="{00000001-1F5A-410A-A2A5-BDD9B888582E}"/>
            </c:ext>
          </c:extLst>
        </c:ser>
        <c:dLbls>
          <c:showLegendKey val="0"/>
          <c:showVal val="0"/>
          <c:showCatName val="0"/>
          <c:showSerName val="0"/>
          <c:showPercent val="0"/>
          <c:showBubbleSize val="0"/>
        </c:dLbls>
        <c:smooth val="0"/>
        <c:axId val="1505947856"/>
        <c:axId val="884064896"/>
      </c:lineChart>
      <c:catAx>
        <c:axId val="1505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84064896"/>
        <c:crosses val="autoZero"/>
        <c:auto val="1"/>
        <c:lblAlgn val="ctr"/>
        <c:lblOffset val="100"/>
        <c:noMultiLvlLbl val="0"/>
      </c:catAx>
      <c:valAx>
        <c:axId val="8840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0594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laetitiavira@gmail.com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897</Words>
  <Characters>6194</Characters>
  <Application>Microsoft Office Word</Application>
  <DocSecurity>0</DocSecurity>
  <Lines>51</Lines>
  <Paragraphs>14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EVALUATION OF THE GREEN ZONE IN THE EU</vt:lpstr>
      <vt:lpstr>EVALUATION OF THE GREEN ZONE IN THE EU</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GREEN ZONE IN THE EU</dc:title>
  <dc:subject/>
  <dc:creator>Laetitia Vira</dc:creator>
  <cp:keywords/>
  <dc:description/>
  <cp:lastModifiedBy>Lttd</cp:lastModifiedBy>
  <cp:revision>24</cp:revision>
  <dcterms:created xsi:type="dcterms:W3CDTF">2019-06-21T13:33:00Z</dcterms:created>
  <dcterms:modified xsi:type="dcterms:W3CDTF">2019-06-30T20:06:00Z</dcterms:modified>
</cp:coreProperties>
</file>